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1889" w:rightChars="598"/>
        <w:jc w:val="distribute"/>
        <w:rPr>
          <w:rFonts w:ascii="方正小标宋简体" w:hAnsi="方正小标宋简体" w:eastAsia="方正小标宋简体" w:cs="方正小标宋简体"/>
          <w:color w:val="FF0000"/>
          <w:w w:val="70"/>
          <w:sz w:val="84"/>
          <w:szCs w:val="84"/>
        </w:rPr>
      </w:pPr>
      <w:r>
        <w:pict>
          <v:shape id="_x0000_s1026" o:spid="_x0000_s1026" o:spt="202" type="#_x0000_t202" style="position:absolute;left:0pt;margin-left:333pt;margin-top:-3.55pt;height:171.6pt;width:144pt;z-index:-251658240;mso-width-relative:page;mso-height-relative:page;" stroked="f" coordsize="21600,21600">
            <v:path/>
            <v:fill focussize="0,0"/>
            <v:stroke on="f" joinstyle="miter"/>
            <v:imagedata o:title=""/>
            <o:lock v:ext="edit"/>
            <v:textbox>
              <w:txbxContent>
                <w:p>
                  <w:pPr>
                    <w:spacing w:line="2000" w:lineRule="exact"/>
                    <w:rPr>
                      <w:rFonts w:ascii="方正大标宋简体" w:eastAsia="方正大标宋简体"/>
                      <w:color w:val="FF0000"/>
                      <w:w w:val="50"/>
                      <w:sz w:val="170"/>
                      <w:szCs w:val="170"/>
                    </w:rPr>
                  </w:pPr>
                  <w:r>
                    <w:rPr>
                      <w:rFonts w:hint="eastAsia" w:ascii="方正大标宋简体" w:eastAsia="方正大标宋简体"/>
                      <w:color w:val="FF0000"/>
                      <w:w w:val="50"/>
                      <w:sz w:val="170"/>
                      <w:szCs w:val="170"/>
                    </w:rPr>
                    <w:t>文件</w:t>
                  </w:r>
                </w:p>
              </w:txbxContent>
            </v:textbox>
          </v:shape>
        </w:pict>
      </w:r>
      <w:r>
        <w:rPr>
          <w:rFonts w:hint="eastAsia" w:ascii="方正小标宋简体" w:hAnsi="方正小标宋简体" w:eastAsia="方正小标宋简体" w:cs="方正小标宋简体"/>
          <w:color w:val="FF0000"/>
          <w:w w:val="70"/>
          <w:sz w:val="84"/>
          <w:szCs w:val="84"/>
        </w:rPr>
        <w:t>台儿庄区教育和体育局</w:t>
      </w:r>
    </w:p>
    <w:p>
      <w:pPr>
        <w:spacing w:line="1000" w:lineRule="exact"/>
        <w:ind w:right="1889" w:rightChars="598"/>
        <w:jc w:val="distribute"/>
        <w:rPr>
          <w:rFonts w:ascii="方正小标宋简体" w:hAnsi="方正小标宋简体" w:eastAsia="方正小标宋简体" w:cs="方正小标宋简体"/>
          <w:color w:val="FF0000"/>
          <w:w w:val="70"/>
          <w:sz w:val="84"/>
          <w:szCs w:val="84"/>
        </w:rPr>
      </w:pPr>
      <w:r>
        <w:rPr>
          <w:rFonts w:hint="eastAsia" w:ascii="方正小标宋简体" w:hAnsi="方正小标宋简体" w:eastAsia="方正小标宋简体" w:cs="方正小标宋简体"/>
          <w:color w:val="FF0000"/>
          <w:w w:val="70"/>
          <w:sz w:val="84"/>
          <w:szCs w:val="84"/>
        </w:rPr>
        <w:t>台儿庄区市场监督管理局</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仿宋_GB2312" w:hAnsi="仿宋" w:cs="方正小标宋简体"/>
          <w:szCs w:val="32"/>
        </w:rPr>
      </w:pPr>
    </w:p>
    <w:p>
      <w:pPr>
        <w:spacing w:line="560" w:lineRule="exact"/>
        <w:jc w:val="center"/>
        <w:rPr>
          <w:rFonts w:ascii="仿宋_GB2312" w:hAnsi="仿宋" w:cs="方正小标宋简体"/>
          <w:szCs w:val="32"/>
        </w:rPr>
      </w:pPr>
      <w:r>
        <w:rPr>
          <w:rFonts w:hint="eastAsia" w:ascii="仿宋_GB2312" w:hAnsi="仿宋" w:cs="方正小标宋简体"/>
          <w:szCs w:val="32"/>
        </w:rPr>
        <w:t>台教体字</w:t>
      </w:r>
      <w:r>
        <w:rPr>
          <w:rFonts w:hint="eastAsia" w:ascii="仿宋_GB2312" w:hAnsi="仿宋" w:cs="方正小标宋简体"/>
          <w:szCs w:val="32"/>
          <w:lang w:val="en-US" w:eastAsia="zh-CN"/>
        </w:rPr>
        <w:t>[</w:t>
      </w:r>
      <w:r>
        <w:rPr>
          <w:rFonts w:ascii="仿宋_GB2312" w:hAnsi="仿宋" w:cs="方正小标宋简体"/>
          <w:szCs w:val="32"/>
        </w:rPr>
        <w:t>2020</w:t>
      </w:r>
      <w:r>
        <w:rPr>
          <w:rFonts w:hint="eastAsia" w:ascii="仿宋_GB2312" w:hAnsi="仿宋" w:cs="方正小标宋简体"/>
          <w:szCs w:val="32"/>
          <w:lang w:val="en-US" w:eastAsia="zh-CN"/>
        </w:rPr>
        <w:t>]</w:t>
      </w:r>
      <w:r>
        <w:rPr>
          <w:rFonts w:ascii="仿宋_GB2312" w:hAnsi="仿宋" w:cs="方正小标宋简体"/>
          <w:szCs w:val="32"/>
        </w:rPr>
        <w:t>8</w:t>
      </w:r>
      <w:r>
        <w:rPr>
          <w:rFonts w:hint="eastAsia" w:ascii="仿宋_GB2312" w:hAnsi="仿宋" w:cs="方正小标宋简体"/>
          <w:szCs w:val="32"/>
        </w:rPr>
        <w:t>号</w:t>
      </w:r>
    </w:p>
    <w:p>
      <w:pPr>
        <w:spacing w:line="240" w:lineRule="exact"/>
        <w:jc w:val="center"/>
        <w:rPr>
          <w:rFonts w:ascii="方正小标宋简体" w:hAnsi="方正小标宋简体" w:eastAsia="方正小标宋简体" w:cs="方正小标宋简体"/>
          <w:sz w:val="44"/>
          <w:szCs w:val="44"/>
        </w:rPr>
      </w:pPr>
      <w:r>
        <w:pict>
          <v:line id="_x0000_s1027" o:spid="_x0000_s1027" o:spt="20" style="position:absolute;left:0pt;flip:y;margin-left:0pt;margin-top:7.45pt;height:0.7pt;width:423pt;z-index:251657216;mso-width-relative:page;mso-height-relative:page;" stroked="t" coordsize="21600,21600" o:gfxdata="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hdgD1QAAAAYB&#10;AAAPAAAAAAAAAAEAIAAAACIAAABkcnMvZG93bnJldi54bWxQSwECFAAUAAAACACHTuJA1UUtxOUB&#10;AACkAwAADgAAAAAAAAABACAAAAAkAQAAZHJzL2Uyb0RvYy54bWxQSwUGAAAAAAYABgBZAQAAewUA&#10;AAAA&#10;">
            <v:path arrowok="t"/>
            <v:fill focussize="0,0"/>
            <v:stroke weight="1.75pt" color="#FF0000"/>
            <v:imagedata o:title=""/>
            <o:lock v:ext="edit"/>
          </v:line>
        </w:pict>
      </w:r>
    </w:p>
    <w:p>
      <w:pPr>
        <w:spacing w:line="240" w:lineRule="exact"/>
        <w:jc w:val="center"/>
        <w:rPr>
          <w:rFonts w:ascii="方正小标宋简体" w:hAnsi="方正小标宋简体" w:eastAsia="方正小标宋简体" w:cs="方正小标宋简体"/>
          <w:sz w:val="44"/>
          <w:szCs w:val="44"/>
        </w:rPr>
      </w:pPr>
    </w:p>
    <w:p>
      <w:pPr>
        <w:spacing w:line="240" w:lineRule="exact"/>
        <w:jc w:val="center"/>
        <w:rPr>
          <w:rFonts w:ascii="方正小标宋简体" w:hAnsi="方正小标宋简体" w:eastAsia="方正小标宋简体" w:cs="方正小标宋简体"/>
          <w:sz w:val="44"/>
          <w:szCs w:val="44"/>
        </w:rPr>
      </w:pPr>
    </w:p>
    <w:p>
      <w:pPr>
        <w:spacing w:line="24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关于印发《台儿庄区</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年度校园食品安全守护整治行动方案》的通知</w:t>
      </w:r>
    </w:p>
    <w:p>
      <w:pPr>
        <w:spacing w:line="570" w:lineRule="exact"/>
        <w:rPr>
          <w:rFonts w:ascii="仿宋_GB2312" w:cs="仿宋_GB2312"/>
          <w:szCs w:val="32"/>
        </w:rPr>
      </w:pPr>
    </w:p>
    <w:p>
      <w:pPr>
        <w:spacing w:line="540" w:lineRule="exact"/>
        <w:rPr>
          <w:rFonts w:ascii="仿宋_GB2312" w:cs="仿宋_GB2312"/>
          <w:szCs w:val="32"/>
        </w:rPr>
      </w:pPr>
      <w:r>
        <w:rPr>
          <w:rFonts w:hint="eastAsia" w:ascii="仿宋_GB2312" w:hAnsi="仿宋_GB2312" w:cs="仿宋_GB2312"/>
          <w:szCs w:val="32"/>
        </w:rPr>
        <w:t>各镇（街）教委（学区）、市场监管所，区直各校（园）：</w:t>
      </w:r>
    </w:p>
    <w:p>
      <w:pPr>
        <w:spacing w:line="540" w:lineRule="exact"/>
        <w:ind w:firstLine="632" w:firstLineChars="200"/>
        <w:rPr>
          <w:rFonts w:ascii="仿宋_GB2312" w:cs="仿宋_GB2312"/>
          <w:szCs w:val="32"/>
        </w:rPr>
      </w:pPr>
      <w:r>
        <w:rPr>
          <w:rFonts w:hint="eastAsia" w:ascii="仿宋_GB2312" w:hAnsi="仿宋_GB2312" w:cs="仿宋_GB2312"/>
          <w:szCs w:val="32"/>
        </w:rPr>
        <w:t>现将《台儿庄区</w:t>
      </w:r>
      <w:r>
        <w:rPr>
          <w:rFonts w:ascii="仿宋_GB2312" w:hAnsi="仿宋_GB2312" w:cs="仿宋_GB2312"/>
          <w:szCs w:val="32"/>
        </w:rPr>
        <w:t>2020</w:t>
      </w:r>
      <w:r>
        <w:rPr>
          <w:rFonts w:hint="eastAsia" w:ascii="仿宋_GB2312" w:hAnsi="仿宋_GB2312" w:cs="仿宋_GB2312"/>
          <w:szCs w:val="32"/>
        </w:rPr>
        <w:t>年度校园食品安全守护整治行动方案》印发给你们，请结合各自实际，认真抓好贯彻落实。</w:t>
      </w:r>
    </w:p>
    <w:p>
      <w:pPr>
        <w:spacing w:line="560" w:lineRule="exact"/>
        <w:ind w:firstLine="632" w:firstLineChars="200"/>
        <w:jc w:val="left"/>
        <w:rPr>
          <w:rFonts w:ascii="仿宋_GB2312" w:cs="仿宋_GB2312"/>
          <w:szCs w:val="32"/>
        </w:rPr>
      </w:pPr>
    </w:p>
    <w:p>
      <w:pPr>
        <w:spacing w:line="560" w:lineRule="exact"/>
        <w:ind w:firstLine="632" w:firstLineChars="200"/>
        <w:jc w:val="left"/>
        <w:rPr>
          <w:rFonts w:ascii="仿宋_GB2312" w:cs="仿宋_GB2312"/>
          <w:szCs w:val="32"/>
        </w:rPr>
      </w:pPr>
    </w:p>
    <w:p>
      <w:pPr>
        <w:spacing w:line="560" w:lineRule="exact"/>
        <w:ind w:firstLine="316" w:firstLineChars="100"/>
        <w:rPr>
          <w:rFonts w:ascii="仿宋" w:hAnsi="仿宋" w:eastAsia="仿宋" w:cs="仿宋"/>
          <w:szCs w:val="32"/>
        </w:rPr>
      </w:pPr>
      <w:r>
        <w:rPr>
          <w:rFonts w:hint="eastAsia" w:ascii="仿宋" w:hAnsi="仿宋" w:eastAsia="仿宋" w:cs="仿宋"/>
          <w:szCs w:val="32"/>
        </w:rPr>
        <w:t>台儿庄区教育和体育局</w:t>
      </w:r>
      <w:r>
        <w:rPr>
          <w:rFonts w:ascii="仿宋" w:hAnsi="仿宋" w:eastAsia="仿宋" w:cs="仿宋"/>
          <w:szCs w:val="32"/>
        </w:rPr>
        <w:t xml:space="preserve">          </w:t>
      </w:r>
      <w:r>
        <w:rPr>
          <w:rFonts w:hint="eastAsia" w:ascii="仿宋_GB2312" w:hAnsi="仿宋_GB2312" w:cs="仿宋_GB2312"/>
          <w:szCs w:val="32"/>
        </w:rPr>
        <w:t>台儿庄区市场监督管理局</w:t>
      </w:r>
    </w:p>
    <w:p>
      <w:pPr>
        <w:spacing w:line="560" w:lineRule="exact"/>
        <w:ind w:firstLine="632" w:firstLineChars="200"/>
        <w:jc w:val="left"/>
        <w:rPr>
          <w:rFonts w:ascii="仿宋_GB2312" w:cs="仿宋_GB2312"/>
          <w:szCs w:val="32"/>
        </w:rPr>
      </w:pPr>
    </w:p>
    <w:p>
      <w:pPr>
        <w:spacing w:line="560" w:lineRule="exact"/>
        <w:ind w:firstLine="5372" w:firstLineChars="1700"/>
        <w:jc w:val="left"/>
        <w:rPr>
          <w:rFonts w:hint="eastAsia" w:ascii="仿宋_GB2312" w:eastAsia="仿宋_GB2312" w:cs="仿宋_GB2312"/>
          <w:szCs w:val="32"/>
          <w:lang w:val="en-US" w:eastAsia="zh-CN"/>
        </w:rPr>
        <w:sectPr>
          <w:pgSz w:w="11906" w:h="16838"/>
          <w:pgMar w:top="1701" w:right="1587" w:bottom="1701" w:left="1587" w:header="851" w:footer="1304" w:gutter="0"/>
          <w:pgNumType w:fmt="numberInDash"/>
          <w:cols w:space="720" w:num="1"/>
          <w:docGrid w:type="linesAndChars" w:linePitch="579" w:charSpace="-849"/>
        </w:sectPr>
      </w:pPr>
      <w:r>
        <w:rPr>
          <w:rFonts w:ascii="仿宋_GB2312" w:hAnsi="仿宋_GB2312" w:cs="仿宋_GB2312"/>
          <w:szCs w:val="32"/>
        </w:rPr>
        <w:t>2020</w:t>
      </w:r>
      <w:r>
        <w:rPr>
          <w:rFonts w:hint="eastAsia" w:ascii="仿宋_GB2312" w:hAnsi="仿宋_GB2312" w:cs="仿宋_GB2312"/>
          <w:szCs w:val="32"/>
        </w:rPr>
        <w:t>年</w:t>
      </w:r>
      <w:r>
        <w:rPr>
          <w:rFonts w:hint="eastAsia" w:ascii="仿宋_GB2312" w:hAnsi="仿宋_GB2312" w:cs="仿宋_GB2312"/>
          <w:szCs w:val="32"/>
          <w:lang w:val="en-US" w:eastAsia="zh-CN"/>
        </w:rPr>
        <w:t>4</w:t>
      </w:r>
      <w:r>
        <w:rPr>
          <w:rFonts w:hint="eastAsia" w:ascii="仿宋_GB2312" w:hAnsi="仿宋_GB2312" w:cs="仿宋_GB2312"/>
          <w:szCs w:val="32"/>
        </w:rPr>
        <w:t>月</w:t>
      </w:r>
      <w:r>
        <w:rPr>
          <w:rFonts w:ascii="仿宋_GB2312" w:hAnsi="仿宋_GB2312" w:cs="仿宋_GB2312"/>
          <w:szCs w:val="32"/>
        </w:rPr>
        <w:t>1</w:t>
      </w:r>
      <w:r>
        <w:rPr>
          <w:rFonts w:hint="eastAsia" w:ascii="仿宋_GB2312" w:hAnsi="仿宋_GB2312" w:cs="仿宋_GB2312"/>
          <w:szCs w:val="32"/>
          <w:lang w:val="en-US" w:eastAsia="zh-CN"/>
        </w:rPr>
        <w:t>8</w:t>
      </w:r>
      <w:bookmarkStart w:id="0" w:name="_GoBack"/>
      <w:bookmarkEnd w:id="0"/>
      <w:r>
        <w:rPr>
          <w:rFonts w:hint="eastAsia" w:ascii="仿宋_GB2312" w:hAnsi="仿宋_GB2312" w:cs="仿宋_GB2312"/>
          <w:szCs w:val="32"/>
          <w:lang w:eastAsia="zh-CN"/>
        </w:rPr>
        <w:t>日</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年度校园食品安全守护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整治行动方案</w:t>
      </w:r>
    </w:p>
    <w:p>
      <w:pPr>
        <w:spacing w:line="560" w:lineRule="exact"/>
        <w:jc w:val="center"/>
        <w:rPr>
          <w:szCs w:val="32"/>
        </w:rPr>
      </w:pPr>
    </w:p>
    <w:p>
      <w:pPr>
        <w:spacing w:line="560" w:lineRule="exact"/>
        <w:ind w:firstLine="632" w:firstLineChars="200"/>
        <w:rPr>
          <w:rFonts w:ascii="仿宋_GB2312" w:cs="仿宋_GB2312"/>
          <w:szCs w:val="32"/>
        </w:rPr>
      </w:pPr>
      <w:r>
        <w:rPr>
          <w:rFonts w:hint="eastAsia" w:ascii="仿宋_GB2312" w:hAnsi="仿宋_GB2312" w:cs="仿宋_GB2312"/>
          <w:szCs w:val="32"/>
        </w:rPr>
        <w:t>为全面贯彻《中共台儿庄区委</w:t>
      </w:r>
      <w:r>
        <w:rPr>
          <w:rFonts w:ascii="仿宋_GB2312" w:hAnsi="仿宋_GB2312" w:cs="仿宋_GB2312"/>
          <w:szCs w:val="32"/>
        </w:rPr>
        <w:t xml:space="preserve">  </w:t>
      </w:r>
      <w:r>
        <w:rPr>
          <w:rFonts w:hint="eastAsia" w:ascii="仿宋_GB2312" w:hAnsi="仿宋_GB2312" w:cs="仿宋_GB2312"/>
          <w:szCs w:val="32"/>
        </w:rPr>
        <w:t>台儿庄区人民政府关于深化改革加强食品安全工作的实施意见》（台发</w:t>
      </w:r>
      <w:r>
        <w:rPr>
          <w:rFonts w:ascii="仿宋_GB2312" w:hAnsi="仿宋_GB2312" w:cs="仿宋_GB2312"/>
          <w:szCs w:val="32"/>
        </w:rPr>
        <w:t>[2020]2</w:t>
      </w:r>
      <w:r>
        <w:rPr>
          <w:rFonts w:hint="eastAsia" w:ascii="仿宋_GB2312" w:hAnsi="仿宋_GB2312" w:cs="仿宋_GB2312"/>
          <w:szCs w:val="32"/>
        </w:rPr>
        <w:t>号）和《</w:t>
      </w:r>
      <w:r>
        <w:rPr>
          <w:rFonts w:ascii="仿宋_GB2312" w:hAnsi="仿宋_GB2312" w:cs="仿宋_GB2312"/>
          <w:szCs w:val="32"/>
        </w:rPr>
        <w:t>2020</w:t>
      </w:r>
      <w:r>
        <w:rPr>
          <w:rFonts w:hint="eastAsia" w:ascii="仿宋_GB2312" w:hAnsi="仿宋_GB2312" w:cs="仿宋_GB2312"/>
          <w:szCs w:val="32"/>
        </w:rPr>
        <w:t>年全区食品安全重点工作安排》（区食安委</w:t>
      </w:r>
      <w:r>
        <w:rPr>
          <w:rFonts w:ascii="仿宋_GB2312" w:hAnsi="仿宋_GB2312" w:cs="仿宋_GB2312"/>
          <w:szCs w:val="32"/>
        </w:rPr>
        <w:t>[2020]1</w:t>
      </w:r>
      <w:r>
        <w:rPr>
          <w:rFonts w:hint="eastAsia" w:ascii="仿宋_GB2312" w:hAnsi="仿宋_GB2312" w:cs="仿宋_GB2312"/>
          <w:szCs w:val="32"/>
        </w:rPr>
        <w:t>号）的文件精神，完成《枣庄市</w:t>
      </w:r>
      <w:r>
        <w:rPr>
          <w:rFonts w:ascii="仿宋_GB2312" w:hAnsi="仿宋_GB2312" w:cs="仿宋_GB2312"/>
          <w:szCs w:val="32"/>
        </w:rPr>
        <w:t>2020</w:t>
      </w:r>
      <w:r>
        <w:rPr>
          <w:rFonts w:hint="eastAsia" w:ascii="仿宋_GB2312" w:hAnsi="仿宋_GB2312" w:cs="仿宋_GB2312"/>
          <w:szCs w:val="32"/>
        </w:rPr>
        <w:t>年度校园食品安全守护整治行动方案》（枣教字</w:t>
      </w:r>
      <w:r>
        <w:rPr>
          <w:rFonts w:ascii="仿宋_GB2312" w:hAnsi="仿宋_GB2312" w:cs="仿宋_GB2312"/>
          <w:szCs w:val="32"/>
        </w:rPr>
        <w:t>[2020]15</w:t>
      </w:r>
      <w:r>
        <w:rPr>
          <w:rFonts w:hint="eastAsia" w:ascii="仿宋_GB2312" w:hAnsi="仿宋_GB2312" w:cs="仿宋_GB2312"/>
          <w:szCs w:val="32"/>
        </w:rPr>
        <w:t>号）提出的工作目标，加强全区校园食品安全监管，保障广大师生饮食安全，结合我区持续开展“守护舌尖安全”整治，全力打好食品安全放心工程攻坚行动的部署，开展校园食品安全守护整治行动，特制定本方案。</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一、工作目标</w:t>
      </w:r>
    </w:p>
    <w:p>
      <w:pPr>
        <w:spacing w:line="560" w:lineRule="exact"/>
        <w:ind w:firstLine="632" w:firstLineChars="200"/>
        <w:rPr>
          <w:rFonts w:ascii="仿宋_GB2312" w:cs="仿宋_GB2312"/>
          <w:szCs w:val="32"/>
        </w:rPr>
      </w:pPr>
      <w:r>
        <w:rPr>
          <w:rFonts w:hint="eastAsia" w:ascii="仿宋_GB2312" w:hAnsi="仿宋_GB2312" w:cs="仿宋_GB2312"/>
          <w:szCs w:val="32"/>
        </w:rPr>
        <w:t>健全校园食品安全管理制度，优化“四统一”管理过程，学校大宗食品定点采购覆盖率、学校食堂量化分级</w:t>
      </w:r>
      <w:r>
        <w:rPr>
          <w:rFonts w:ascii="仿宋_GB2312" w:hAnsi="仿宋_GB2312" w:cs="仿宋_GB2312"/>
          <w:szCs w:val="32"/>
        </w:rPr>
        <w:t>B</w:t>
      </w:r>
      <w:r>
        <w:rPr>
          <w:rFonts w:hint="eastAsia" w:ascii="仿宋_GB2312" w:hAnsi="仿宋_GB2312" w:cs="仿宋_GB2312"/>
          <w:szCs w:val="32"/>
        </w:rPr>
        <w:t>级</w:t>
      </w:r>
      <w:r>
        <w:rPr>
          <w:rFonts w:ascii="仿宋_GB2312" w:hAnsi="仿宋_GB2312" w:cs="仿宋_GB2312"/>
          <w:szCs w:val="32"/>
        </w:rPr>
        <w:t>(</w:t>
      </w:r>
      <w:r>
        <w:rPr>
          <w:rFonts w:hint="eastAsia" w:ascii="仿宋_GB2312" w:hAnsi="仿宋_GB2312" w:cs="仿宋_GB2312"/>
          <w:szCs w:val="32"/>
        </w:rPr>
        <w:t>良好</w:t>
      </w:r>
      <w:r>
        <w:rPr>
          <w:rFonts w:ascii="仿宋_GB2312" w:hAnsi="仿宋_GB2312" w:cs="仿宋_GB2312"/>
          <w:szCs w:val="32"/>
        </w:rPr>
        <w:t>)</w:t>
      </w:r>
      <w:r>
        <w:rPr>
          <w:rFonts w:hint="eastAsia" w:ascii="仿宋_GB2312" w:hAnsi="仿宋_GB2312" w:cs="仿宋_GB2312"/>
          <w:szCs w:val="32"/>
        </w:rPr>
        <w:t>以上和季度检查覆盖率均达到</w:t>
      </w:r>
      <w:r>
        <w:rPr>
          <w:rFonts w:ascii="仿宋_GB2312" w:hAnsi="仿宋_GB2312" w:cs="仿宋_GB2312"/>
          <w:szCs w:val="32"/>
        </w:rPr>
        <w:t>100</w:t>
      </w:r>
      <w:r>
        <w:rPr>
          <w:rFonts w:hint="eastAsia" w:ascii="仿宋_GB2312" w:hAnsi="仿宋_GB2312" w:cs="仿宋_GB2312"/>
          <w:szCs w:val="32"/>
        </w:rPr>
        <w:t>％，学校食堂量化分级</w:t>
      </w:r>
      <w:r>
        <w:rPr>
          <w:rFonts w:ascii="仿宋_GB2312" w:hAnsi="仿宋_GB2312" w:cs="仿宋_GB2312"/>
          <w:szCs w:val="32"/>
        </w:rPr>
        <w:t>A</w:t>
      </w:r>
      <w:r>
        <w:rPr>
          <w:rFonts w:hint="eastAsia" w:ascii="仿宋_GB2312" w:hAnsi="仿宋_GB2312" w:cs="仿宋_GB2312"/>
          <w:szCs w:val="32"/>
        </w:rPr>
        <w:t>级有大的突破。巩固学校食堂“明厨亮灶”全覆盖成果，积极推进“互联网</w:t>
      </w:r>
      <w:r>
        <w:rPr>
          <w:rFonts w:ascii="仿宋_GB2312" w:hAnsi="仿宋_GB2312" w:cs="仿宋_GB2312"/>
          <w:szCs w:val="32"/>
        </w:rPr>
        <w:t>+</w:t>
      </w:r>
      <w:r>
        <w:rPr>
          <w:rFonts w:hint="eastAsia" w:ascii="仿宋_GB2312" w:hAnsi="仿宋_GB2312" w:cs="仿宋_GB2312"/>
          <w:szCs w:val="32"/>
        </w:rPr>
        <w:t>明厨亮灶”，持续开展“校园示范食堂”创建活动，年底前再创建“区级示范食堂”</w:t>
      </w:r>
      <w:r>
        <w:rPr>
          <w:rFonts w:ascii="仿宋_GB2312" w:hAnsi="仿宋_GB2312" w:cs="仿宋_GB2312"/>
          <w:szCs w:val="32"/>
        </w:rPr>
        <w:t>10</w:t>
      </w:r>
      <w:r>
        <w:rPr>
          <w:rFonts w:hint="eastAsia" w:ascii="仿宋_GB2312" w:hAnsi="仿宋_GB2312" w:cs="仿宋_GB2312"/>
          <w:szCs w:val="32"/>
        </w:rPr>
        <w:t>所，创市级“清洁厨房”</w:t>
      </w:r>
      <w:r>
        <w:rPr>
          <w:rFonts w:ascii="仿宋_GB2312" w:hAnsi="仿宋_GB2312" w:cs="仿宋_GB2312"/>
          <w:szCs w:val="32"/>
        </w:rPr>
        <w:t>20</w:t>
      </w:r>
      <w:r>
        <w:rPr>
          <w:rFonts w:hint="eastAsia" w:ascii="仿宋_GB2312" w:hAnsi="仿宋_GB2312" w:cs="仿宋_GB2312"/>
          <w:szCs w:val="32"/>
        </w:rPr>
        <w:t>所，力争建成“智慧食堂”</w:t>
      </w:r>
      <w:r>
        <w:rPr>
          <w:rFonts w:ascii="仿宋_GB2312" w:hAnsi="仿宋_GB2312" w:cs="仿宋_GB2312"/>
          <w:szCs w:val="32"/>
        </w:rPr>
        <w:t>6</w:t>
      </w:r>
      <w:r>
        <w:rPr>
          <w:rFonts w:hint="eastAsia" w:ascii="仿宋_GB2312" w:hAnsi="仿宋_GB2312" w:cs="仿宋_GB2312"/>
          <w:szCs w:val="32"/>
        </w:rPr>
        <w:t>所。加强学校食品安全与营养健康教育，学生正确饮食观念有较大提高。完善学校食品安全突发事件应急预案及演练，强化检查督导，严查风险隐患，进一步提高校园食品安全治理水平。</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二、工作措施</w:t>
      </w:r>
    </w:p>
    <w:p>
      <w:pPr>
        <w:spacing w:line="560" w:lineRule="exact"/>
        <w:ind w:firstLine="632" w:firstLineChars="200"/>
        <w:rPr>
          <w:rFonts w:ascii="仿宋_GB2312" w:cs="仿宋_GB2312"/>
          <w:szCs w:val="32"/>
        </w:rPr>
      </w:pPr>
      <w:r>
        <w:rPr>
          <w:rFonts w:hint="eastAsia" w:ascii="楷体_GB2312" w:hAnsi="楷体_GB2312" w:eastAsia="楷体_GB2312" w:cs="楷体_GB2312"/>
          <w:szCs w:val="32"/>
        </w:rPr>
        <w:t>（一）开展食品经营许可整治行动。</w:t>
      </w:r>
      <w:r>
        <w:rPr>
          <w:rFonts w:hint="eastAsia" w:ascii="仿宋_GB2312" w:hAnsi="仿宋_GB2312" w:cs="仿宋_GB2312"/>
          <w:szCs w:val="32"/>
        </w:rPr>
        <w:t>学校（幼儿园）食堂必须依法取得《食品经营许可证》，才能向师生提供服务。目前全区仍然存在无证向师生提供就餐的违法行为，特别是私立幼儿园尤其严重。对不符合食品生产经营条件的、法人更换不及时的，应督促其整改，对整改后仍不符合要求或拒不整改的，严肃查处，坚决取缔。对公立校园食堂，区局负责科室配合基层市场监管部门靠上指导，帮助学校（幼儿园）尽快取得合法资质。学校食堂委托管理的，受委托的餐饮服务单位必须是取得许可资质的企业。学校原则上禁止设置小卖部、超市等食品经营场所，确有需要设置的，必须经教育行政主管部门批准，依法取得经营许可证；学校零利润自管自营，全区统一配送货品，统一销售价格，独立建账；禁止售卖高盐、高糖及高脂食品。</w:t>
      </w:r>
    </w:p>
    <w:p>
      <w:pPr>
        <w:spacing w:line="560" w:lineRule="exact"/>
        <w:ind w:firstLine="632" w:firstLineChars="200"/>
        <w:rPr>
          <w:rFonts w:ascii="仿宋_GB2312" w:cs="仿宋_GB2312"/>
          <w:szCs w:val="32"/>
        </w:rPr>
      </w:pPr>
      <w:r>
        <w:rPr>
          <w:rFonts w:hint="eastAsia" w:ascii="楷体_GB2312" w:hAnsi="楷体_GB2312" w:eastAsia="楷体_GB2312" w:cs="楷体_GB2312"/>
          <w:szCs w:val="32"/>
        </w:rPr>
        <w:t>（二）开展校（园）长食品安全主体责任落实年活动。</w:t>
      </w:r>
      <w:r>
        <w:rPr>
          <w:rFonts w:hint="eastAsia" w:ascii="仿宋_GB2312" w:hAnsi="仿宋_GB2312" w:cs="仿宋_GB2312"/>
          <w:szCs w:val="32"/>
        </w:rPr>
        <w:t>严格落实学校食品安全校（园）长负责制、陪餐制，组织校（园）长食品安全专题培训和考察学习，严格检查校园长是否主持学校食品安全会议，是否亲自组织月度自查，是否亲自陪餐，是否亲自督查整改，是否参加食品安全培训、自觉学习食品安全知识。落实学校（幼儿园）食堂实行集中用餐信息公示制度，组织家长委员会成员参与学校（幼儿园）食品安全监督机制，建立食品安全管理机构，配备食品安全管理员，建立从业人员健康体检证明和食品安全培训档案，严禁未经体检和培训上岗人员从事食品加工制作。</w:t>
      </w:r>
    </w:p>
    <w:p>
      <w:pPr>
        <w:spacing w:line="560" w:lineRule="exact"/>
        <w:ind w:firstLine="632" w:firstLineChars="200"/>
        <w:rPr>
          <w:rFonts w:ascii="仿宋_GB2312" w:cs="仿宋_GB2312"/>
          <w:szCs w:val="32"/>
        </w:rPr>
      </w:pPr>
      <w:r>
        <w:rPr>
          <w:rFonts w:hint="eastAsia" w:ascii="楷体_GB2312" w:hAnsi="楷体_GB2312" w:eastAsia="楷体_GB2312" w:cs="楷体_GB2312"/>
          <w:szCs w:val="32"/>
        </w:rPr>
        <w:t>（三）开展“品牌食材进校园”行动。</w:t>
      </w:r>
      <w:r>
        <w:rPr>
          <w:rFonts w:hint="eastAsia" w:ascii="仿宋_GB2312" w:hAnsi="仿宋_GB2312" w:cs="仿宋_GB2312"/>
          <w:szCs w:val="32"/>
        </w:rPr>
        <w:t>加强食材配送企业的监管，开展源头生产和流通企业的食品安全调查，开展“品牌食材进校园”行动，严格落实食品原料采购索证索票和进货查验制度，保证食材质量合格证、检疫证、农残检测证随食材进食堂，实现食材溯源达</w:t>
      </w:r>
      <w:r>
        <w:rPr>
          <w:rFonts w:ascii="仿宋_GB2312" w:hAnsi="仿宋_GB2312" w:cs="仿宋_GB2312"/>
          <w:szCs w:val="32"/>
        </w:rPr>
        <w:t>100%</w:t>
      </w:r>
      <w:r>
        <w:rPr>
          <w:rFonts w:hint="eastAsia" w:ascii="仿宋_GB2312" w:hAnsi="仿宋_GB2312" w:cs="仿宋_GB2312"/>
          <w:szCs w:val="32"/>
        </w:rPr>
        <w:t>，禁止使用超过保质期或者变质的食品及原料。严厉打击采购和使用“三无”食品、假冒伪劣食品原料的违法行为。</w:t>
      </w:r>
    </w:p>
    <w:p>
      <w:pPr>
        <w:spacing w:line="560" w:lineRule="exact"/>
        <w:ind w:firstLine="632" w:firstLineChars="200"/>
        <w:rPr>
          <w:rFonts w:ascii="仿宋_GB2312" w:cs="仿宋_GB2312"/>
          <w:szCs w:val="32"/>
        </w:rPr>
      </w:pPr>
      <w:r>
        <w:rPr>
          <w:rFonts w:hint="eastAsia" w:ascii="楷体_GB2312" w:hAnsi="楷体_GB2312" w:eastAsia="楷体_GB2312" w:cs="楷体_GB2312"/>
          <w:szCs w:val="32"/>
        </w:rPr>
        <w:t>（四）规范食品加工制作流程。</w:t>
      </w:r>
      <w:r>
        <w:rPr>
          <w:rFonts w:hint="eastAsia" w:ascii="仿宋_GB2312" w:hAnsi="仿宋_GB2312" w:cs="仿宋_GB2312"/>
          <w:szCs w:val="32"/>
        </w:rPr>
        <w:t>开展“食品加工专业团队”进食堂试点，优化从业人员的专业结构；开展“六常”行动，加强食堂从业人员知识培训，规范岗位妆容妆貌和作业行为；严格食品原料、半成品和成品分开存放，防止交叉污染；实施食品加工工具用具色标、分类、定位管理；严禁滥用食品添加剂加工食品，食品留样不低于</w:t>
      </w:r>
      <w:r>
        <w:rPr>
          <w:rFonts w:ascii="仿宋_GB2312" w:hAnsi="仿宋_GB2312" w:cs="仿宋_GB2312"/>
          <w:szCs w:val="32"/>
        </w:rPr>
        <w:t>125g</w:t>
      </w:r>
      <w:r>
        <w:rPr>
          <w:rFonts w:hint="eastAsia" w:ascii="仿宋_GB2312" w:hAnsi="仿宋_GB2312" w:cs="仿宋_GB2312"/>
          <w:szCs w:val="32"/>
        </w:rPr>
        <w:t>且满足检验需要，留样时间不低于</w:t>
      </w:r>
      <w:r>
        <w:rPr>
          <w:rFonts w:ascii="仿宋_GB2312" w:hAnsi="仿宋_GB2312" w:cs="仿宋_GB2312"/>
          <w:szCs w:val="32"/>
        </w:rPr>
        <w:t>48</w:t>
      </w:r>
      <w:r>
        <w:rPr>
          <w:rFonts w:hint="eastAsia" w:ascii="仿宋_GB2312" w:hAnsi="仿宋_GB2312" w:cs="仿宋_GB2312"/>
          <w:szCs w:val="32"/>
        </w:rPr>
        <w:t>小时，并做好记录。学校食堂不得加工制作生冷荤凉菜，不得制售生食水产品。</w:t>
      </w:r>
    </w:p>
    <w:p>
      <w:pPr>
        <w:spacing w:line="560" w:lineRule="exact"/>
        <w:ind w:firstLine="632" w:firstLineChars="200"/>
        <w:rPr>
          <w:rFonts w:ascii="仿宋_GB2312" w:cs="仿宋_GB2312"/>
          <w:szCs w:val="32"/>
        </w:rPr>
      </w:pPr>
      <w:r>
        <w:rPr>
          <w:rFonts w:hint="eastAsia" w:ascii="楷体_GB2312" w:hAnsi="楷体_GB2312" w:eastAsia="楷体_GB2312" w:cs="楷体_GB2312"/>
          <w:szCs w:val="32"/>
        </w:rPr>
        <w:t>（五）强化餐饮具清洗消毒和保洁。</w:t>
      </w:r>
      <w:r>
        <w:rPr>
          <w:rFonts w:hint="eastAsia" w:ascii="仿宋_GB2312" w:hAnsi="仿宋_GB2312" w:cs="仿宋_GB2312"/>
          <w:szCs w:val="32"/>
        </w:rPr>
        <w:t>学校食堂制定落实餐饮具清洗消毒保洁管理制度，严禁使用未经消毒的餐饮具。对餐具、饮具自行进行清洗消毒的，要配备满足要求的清洗、消毒、保洁设施设备，并建立清洗消毒记录台帐，如实记录消毒方式、消毒时间、消毒人员。使用的洗涤剂和消毒剂要符合国家标准和卫生规范。清洗消毒后的餐具、饮具要存放在专用保洁设施中，并定期清洁消毒保洁设施，防止消毒后的餐饮具受到污染。学校自备井要远离污染源，并通过有关部门检测。</w:t>
      </w:r>
    </w:p>
    <w:p>
      <w:pPr>
        <w:spacing w:line="560" w:lineRule="exact"/>
        <w:ind w:firstLine="632" w:firstLineChars="200"/>
        <w:rPr>
          <w:rFonts w:ascii="仿宋_GB2312" w:cs="仿宋_GB2312"/>
          <w:b/>
          <w:bCs/>
          <w:szCs w:val="32"/>
        </w:rPr>
      </w:pPr>
      <w:r>
        <w:rPr>
          <w:rFonts w:hint="eastAsia" w:ascii="楷体_GB2312" w:hAnsi="楷体_GB2312" w:eastAsia="楷体_GB2312" w:cs="楷体_GB2312"/>
          <w:szCs w:val="32"/>
        </w:rPr>
        <w:t>（六）推动学校“清洁厨房”建设，抓好“智慧食堂”试点工作，积极申报“校园示范食堂”。</w:t>
      </w:r>
      <w:r>
        <w:rPr>
          <w:rFonts w:hint="eastAsia" w:ascii="仿宋_GB2312" w:hAnsi="仿宋_GB2312" w:cs="仿宋_GB2312"/>
          <w:szCs w:val="32"/>
        </w:rPr>
        <w:t>各镇（街）教委（学区）、市场监管所、区直各校（园）要按照《清洁厨房标准》（附件</w:t>
      </w:r>
      <w:r>
        <w:rPr>
          <w:rFonts w:ascii="仿宋_GB2312" w:hAnsi="仿宋_GB2312" w:cs="仿宋_GB2312"/>
          <w:szCs w:val="32"/>
        </w:rPr>
        <w:t>1</w:t>
      </w:r>
      <w:r>
        <w:rPr>
          <w:rFonts w:hint="eastAsia" w:ascii="仿宋_GB2312" w:hAnsi="仿宋_GB2312" w:cs="仿宋_GB2312"/>
          <w:szCs w:val="32"/>
        </w:rPr>
        <w:t>）和校园示范食堂“九化”标准，督促学校利用寒暑假供餐空闲期间进行改造升级，合理设置功能区域，科学设立操作流程，创设食堂餐厅文化氛围（惜食节约文化、制度文化、色标标识文化、安全教育文化、公示牌、食安宣传阵地建设等设计新颖，布置合理），确保实现“清洁厨房”和食品安全量化等级达到</w:t>
      </w:r>
      <w:r>
        <w:rPr>
          <w:rFonts w:ascii="仿宋_GB2312" w:hAnsi="仿宋_GB2312" w:cs="仿宋_GB2312"/>
          <w:szCs w:val="32"/>
        </w:rPr>
        <w:t>B</w:t>
      </w:r>
      <w:r>
        <w:rPr>
          <w:rFonts w:hint="eastAsia" w:ascii="仿宋_GB2312" w:hAnsi="仿宋_GB2312" w:cs="仿宋_GB2312"/>
          <w:szCs w:val="32"/>
        </w:rPr>
        <w:t>级以上的年度任务目标；区直校园及镇街初中学校要积极进行“智慧食堂”试点工作。</w:t>
      </w:r>
    </w:p>
    <w:p>
      <w:pPr>
        <w:spacing w:line="560" w:lineRule="exact"/>
        <w:ind w:firstLine="632" w:firstLineChars="200"/>
        <w:rPr>
          <w:rFonts w:ascii="仿宋_GB2312" w:cs="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七</w:t>
      </w:r>
      <w:r>
        <w:rPr>
          <w:rFonts w:ascii="楷体_GB2312" w:hAnsi="楷体_GB2312" w:eastAsia="楷体_GB2312" w:cs="楷体_GB2312"/>
          <w:szCs w:val="32"/>
        </w:rPr>
        <w:t>)</w:t>
      </w:r>
      <w:r>
        <w:rPr>
          <w:rFonts w:hint="eastAsia" w:ascii="楷体_GB2312" w:hAnsi="楷体_GB2312" w:eastAsia="楷体_GB2312" w:cs="楷体_GB2312"/>
          <w:szCs w:val="32"/>
        </w:rPr>
        <w:t>强化应急管理，规范舆情处置。</w:t>
      </w:r>
      <w:r>
        <w:rPr>
          <w:rFonts w:hint="eastAsia" w:ascii="仿宋_GB2312" w:hAnsi="仿宋_GB2312" w:cs="仿宋_GB2312"/>
          <w:szCs w:val="32"/>
        </w:rPr>
        <w:t>各校（园）按照区局统一设计的食品安全事故应急预案，结合校（园）实际，尽快修订完善学校的食品安全事故应急处置预案，要求操作性、实用性强，信息准确，人员和信息发生变化要及时更换和更正，一旦发生食品安全事故，能够及时快速有序的得到处置。每学期要组织一次学校食品安全事故应急处置演练。加大对校园食品安全舆情管控力度，积极防控学校食品安全群体性舆情事件，切实做到早发现、早报告、早处置。</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三、工作要求</w:t>
      </w:r>
    </w:p>
    <w:p>
      <w:pPr>
        <w:spacing w:line="560" w:lineRule="exact"/>
        <w:ind w:firstLine="632" w:firstLineChars="200"/>
        <w:rPr>
          <w:rFonts w:ascii="仿宋_GB2312" w:cs="仿宋_GB2312"/>
          <w:szCs w:val="32"/>
        </w:rPr>
      </w:pPr>
      <w:r>
        <w:rPr>
          <w:rFonts w:hint="eastAsia" w:ascii="楷体_GB2312" w:hAnsi="楷体_GB2312" w:eastAsia="楷体_GB2312" w:cs="楷体_GB2312"/>
          <w:szCs w:val="32"/>
        </w:rPr>
        <w:t>（一）提高思想认识，加强组织领导。</w:t>
      </w:r>
      <w:r>
        <w:rPr>
          <w:rFonts w:hint="eastAsia" w:ascii="仿宋_GB2312" w:hAnsi="仿宋_GB2312" w:cs="仿宋_GB2312"/>
          <w:szCs w:val="32"/>
        </w:rPr>
        <w:t>学校食品安全整治工作是食品安全工作的一项重要内容，各镇（街）教委（学区）、市场监管所，区直各学校</w:t>
      </w:r>
      <w:r>
        <w:rPr>
          <w:rFonts w:ascii="仿宋_GB2312" w:hAnsi="仿宋_GB2312" w:cs="仿宋_GB2312"/>
          <w:szCs w:val="32"/>
        </w:rPr>
        <w:t>(</w:t>
      </w:r>
      <w:r>
        <w:rPr>
          <w:rFonts w:hint="eastAsia" w:ascii="仿宋_GB2312" w:hAnsi="仿宋_GB2312" w:cs="仿宋_GB2312"/>
          <w:szCs w:val="32"/>
        </w:rPr>
        <w:t>幼儿园</w:t>
      </w:r>
      <w:r>
        <w:rPr>
          <w:rFonts w:ascii="仿宋_GB2312" w:hAnsi="仿宋_GB2312" w:cs="仿宋_GB2312"/>
          <w:szCs w:val="32"/>
        </w:rPr>
        <w:t>)</w:t>
      </w:r>
      <w:r>
        <w:rPr>
          <w:rFonts w:hint="eastAsia" w:ascii="仿宋_GB2312" w:hAnsi="仿宋_GB2312" w:cs="仿宋_GB2312"/>
          <w:szCs w:val="32"/>
        </w:rPr>
        <w:t>要高度重视，按照校园食品安全守护整治行动任务部署和要求，进一步细化工作任务，明确责任，督促落实，确保整治取得明显成效。</w:t>
      </w:r>
    </w:p>
    <w:p>
      <w:pPr>
        <w:spacing w:line="560" w:lineRule="exact"/>
        <w:ind w:firstLine="632" w:firstLineChars="200"/>
        <w:rPr>
          <w:rFonts w:ascii="仿宋_GB2312" w:cs="仿宋_GB2312"/>
          <w:szCs w:val="32"/>
        </w:rPr>
      </w:pPr>
      <w:r>
        <w:rPr>
          <w:rFonts w:hint="eastAsia" w:ascii="楷体_GB2312" w:hAnsi="楷体_GB2312" w:eastAsia="楷体_GB2312" w:cs="楷体_GB2312"/>
          <w:szCs w:val="32"/>
        </w:rPr>
        <w:t>（二）突出整治重点，严格责任落实。</w:t>
      </w:r>
      <w:r>
        <w:rPr>
          <w:rFonts w:hint="eastAsia" w:ascii="仿宋_GB2312" w:hAnsi="仿宋_GB2312" w:cs="仿宋_GB2312"/>
          <w:szCs w:val="32"/>
        </w:rPr>
        <w:t>各镇（街）教委（学区）、市场监管所，区直各学校要结合食品安全量化等级、清洁厨房验收活动，开展校园食品安全守护整治行动，严厉查处无证经营、食堂操作不规范、从非法渠道采购食品，滥用食品添加剂加工食品的行为；对发现的问题，由各级市场监管部门提出具体整改意见，并督促其限期整改，对改不到位的学校食堂要及时通报。加强对校园周边食品店、小卖部、小摊贩的监督检查，严肃查处销售过期食品、变质食品、“三无”食品的行为。</w:t>
      </w:r>
    </w:p>
    <w:p>
      <w:pPr>
        <w:spacing w:line="560" w:lineRule="exact"/>
        <w:ind w:firstLine="632" w:firstLineChars="200"/>
        <w:rPr>
          <w:rFonts w:ascii="仿宋_GB2312" w:cs="仿宋_GB2312"/>
          <w:szCs w:val="32"/>
        </w:rPr>
      </w:pPr>
      <w:r>
        <w:rPr>
          <w:rFonts w:hint="eastAsia" w:ascii="楷体_GB2312" w:hAnsi="楷体_GB2312" w:eastAsia="楷体_GB2312" w:cs="楷体_GB2312"/>
          <w:szCs w:val="32"/>
        </w:rPr>
        <w:t>（三）加强宣传教育，确保整治成效。</w:t>
      </w:r>
      <w:r>
        <w:rPr>
          <w:rFonts w:hint="eastAsia" w:ascii="仿宋_GB2312" w:hAnsi="仿宋_GB2312" w:cs="仿宋_GB2312"/>
          <w:szCs w:val="32"/>
        </w:rPr>
        <w:t>各学校要以校园食品安全守护整治行动为契机，组织开展食品安全宣传教育活动，利用板报、校讯通等载体，向学生及家长宣传食品安全常识，丰富学生食品安全知识，提高学生食品安全意识。在本次整治行动中，要查找学校食堂管理中薄弱的环节和存在的问题</w:t>
      </w:r>
      <w:r>
        <w:rPr>
          <w:rFonts w:ascii="仿宋_GB2312" w:hAnsi="仿宋_GB2312" w:cs="仿宋_GB2312"/>
          <w:szCs w:val="32"/>
        </w:rPr>
        <w:t>;</w:t>
      </w:r>
      <w:r>
        <w:rPr>
          <w:rFonts w:hint="eastAsia" w:ascii="仿宋_GB2312" w:hAnsi="仿宋_GB2312" w:cs="仿宋_GB2312"/>
          <w:szCs w:val="32"/>
        </w:rPr>
        <w:t>要树立典型，积极推广正面典型的好的经验与做法</w:t>
      </w:r>
      <w:r>
        <w:rPr>
          <w:rFonts w:ascii="仿宋_GB2312" w:hAnsi="仿宋_GB2312" w:cs="仿宋_GB2312"/>
          <w:szCs w:val="32"/>
        </w:rPr>
        <w:t>;</w:t>
      </w:r>
      <w:r>
        <w:rPr>
          <w:rFonts w:hint="eastAsia" w:ascii="仿宋_GB2312" w:hAnsi="仿宋_GB2312" w:cs="仿宋_GB2312"/>
          <w:szCs w:val="32"/>
        </w:rPr>
        <w:t>要加大反面典型的曝光力度，发挥警示震慑作用，使校园食品安全守护整治工作落于实效，确保成效。</w:t>
      </w:r>
    </w:p>
    <w:p>
      <w:pPr>
        <w:spacing w:line="560" w:lineRule="exact"/>
        <w:ind w:firstLine="632" w:firstLineChars="200"/>
        <w:rPr>
          <w:rFonts w:ascii="仿宋_GB2312" w:cs="仿宋_GB2312"/>
          <w:szCs w:val="32"/>
        </w:rPr>
      </w:pPr>
      <w:r>
        <w:rPr>
          <w:rFonts w:hint="eastAsia" w:ascii="仿宋_GB2312" w:hAnsi="仿宋_GB2312" w:cs="仿宋_GB2312"/>
          <w:szCs w:val="32"/>
        </w:rPr>
        <w:t>各镇（街）教委（学区）、市场监管所、区直各学校（幼儿园）要结合各自实际，认真梳理食品安全管理存在的问题和薄弱环节，要制定具体实施和整治方案，要有“清洁厨房”创建的具体时间和措施、存在问题以及薄弱环节的整改时间和措施、“智慧食堂”建设计划，于</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20</w:t>
      </w:r>
      <w:r>
        <w:rPr>
          <w:rFonts w:hint="eastAsia" w:ascii="仿宋_GB2312" w:hAnsi="仿宋_GB2312" w:cs="仿宋_GB2312"/>
          <w:szCs w:val="32"/>
        </w:rPr>
        <w:t>日前分别报区教育和体育局食管科、区市场监管局餐饮科。每季度最后一个月</w:t>
      </w:r>
      <w:r>
        <w:rPr>
          <w:rFonts w:ascii="仿宋_GB2312" w:hAnsi="仿宋_GB2312" w:cs="仿宋_GB2312"/>
          <w:szCs w:val="32"/>
        </w:rPr>
        <w:t>23</w:t>
      </w:r>
      <w:r>
        <w:rPr>
          <w:rFonts w:hint="eastAsia" w:ascii="仿宋_GB2312" w:hAnsi="仿宋_GB2312" w:cs="仿宋_GB2312"/>
          <w:szCs w:val="32"/>
        </w:rPr>
        <w:t>日前分别上报《台儿庄区校园食品安全集中整治工作情况统计表》和《台儿庄区学校食堂清洁厨房和智慧食堂进展情况统计表》，</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15</w:t>
      </w:r>
      <w:r>
        <w:rPr>
          <w:rFonts w:hint="eastAsia" w:ascii="仿宋_GB2312" w:hAnsi="仿宋_GB2312" w:cs="仿宋_GB2312"/>
          <w:szCs w:val="32"/>
        </w:rPr>
        <w:t>日和</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10</w:t>
      </w:r>
      <w:r>
        <w:rPr>
          <w:rFonts w:hint="eastAsia" w:ascii="仿宋_GB2312" w:hAnsi="仿宋_GB2312" w:cs="仿宋_GB2312"/>
          <w:szCs w:val="32"/>
        </w:rPr>
        <w:t>日前分别报送上半年和全年工作情况总结，上述材料按部门分别上报。</w:t>
      </w:r>
    </w:p>
    <w:p>
      <w:pPr>
        <w:spacing w:line="560" w:lineRule="exact"/>
        <w:ind w:firstLine="632" w:firstLineChars="200"/>
        <w:rPr>
          <w:rFonts w:ascii="仿宋_GB2312" w:cs="仿宋_GB2312"/>
          <w:szCs w:val="32"/>
        </w:rPr>
      </w:pPr>
      <w:r>
        <w:rPr>
          <w:rFonts w:hint="eastAsia" w:ascii="仿宋_GB2312" w:hAnsi="仿宋_GB2312" w:cs="仿宋_GB2312"/>
          <w:szCs w:val="32"/>
        </w:rPr>
        <w:t>区教育和体育局联系人：刘西存</w:t>
      </w:r>
      <w:r>
        <w:rPr>
          <w:rFonts w:ascii="仿宋_GB2312" w:hAnsi="仿宋_GB2312" w:cs="仿宋_GB2312"/>
          <w:szCs w:val="32"/>
        </w:rPr>
        <w:t xml:space="preserve">  </w:t>
      </w:r>
      <w:r>
        <w:rPr>
          <w:rFonts w:hint="eastAsia" w:ascii="仿宋_GB2312" w:hAnsi="仿宋_GB2312" w:cs="仿宋_GB2312"/>
          <w:szCs w:val="32"/>
        </w:rPr>
        <w:t>联系电话：</w:t>
      </w:r>
      <w:r>
        <w:rPr>
          <w:rFonts w:ascii="仿宋_GB2312" w:hAnsi="仿宋_GB2312" w:cs="仿宋_GB2312"/>
          <w:szCs w:val="32"/>
        </w:rPr>
        <w:t>18806323519</w:t>
      </w:r>
    </w:p>
    <w:p>
      <w:pPr>
        <w:spacing w:line="560" w:lineRule="exact"/>
        <w:ind w:firstLine="632" w:firstLineChars="200"/>
        <w:rPr>
          <w:rFonts w:ascii="仿宋_GB2312" w:cs="仿宋_GB2312"/>
          <w:szCs w:val="32"/>
        </w:rPr>
      </w:pPr>
      <w:r>
        <w:rPr>
          <w:rFonts w:hint="eastAsia" w:ascii="仿宋_GB2312" w:hAnsi="仿宋_GB2312" w:cs="仿宋_GB2312"/>
          <w:szCs w:val="32"/>
        </w:rPr>
        <w:t>邮箱：</w:t>
      </w:r>
      <w:r>
        <w:rPr>
          <w:rFonts w:ascii="仿宋_GB2312" w:hAnsi="仿宋_GB2312" w:cs="仿宋_GB2312"/>
          <w:szCs w:val="32"/>
        </w:rPr>
        <w:t>lxc6606002@163.com</w:t>
      </w:r>
    </w:p>
    <w:p>
      <w:pPr>
        <w:spacing w:line="560" w:lineRule="exact"/>
        <w:ind w:firstLine="632" w:firstLineChars="200"/>
        <w:rPr>
          <w:rFonts w:ascii="仿宋_GB2312" w:cs="仿宋_GB2312"/>
          <w:szCs w:val="32"/>
        </w:rPr>
      </w:pPr>
      <w:r>
        <w:rPr>
          <w:rFonts w:hint="eastAsia" w:ascii="仿宋_GB2312" w:hAnsi="仿宋_GB2312" w:cs="仿宋_GB2312"/>
          <w:szCs w:val="32"/>
        </w:rPr>
        <w:t>区市场监督管理局联系人：侯敬波</w:t>
      </w:r>
      <w:r>
        <w:rPr>
          <w:rFonts w:ascii="仿宋_GB2312" w:hAnsi="仿宋_GB2312" w:cs="仿宋_GB2312"/>
          <w:szCs w:val="32"/>
        </w:rPr>
        <w:t xml:space="preserve">  </w:t>
      </w:r>
      <w:r>
        <w:rPr>
          <w:rFonts w:hint="eastAsia" w:ascii="仿宋_GB2312" w:hAnsi="仿宋_GB2312" w:cs="仿宋_GB2312"/>
          <w:szCs w:val="32"/>
        </w:rPr>
        <w:t>联系电话：</w:t>
      </w:r>
      <w:r>
        <w:rPr>
          <w:rFonts w:ascii="仿宋_GB2312" w:hAnsi="仿宋_GB2312" w:cs="仿宋_GB2312"/>
          <w:szCs w:val="32"/>
        </w:rPr>
        <w:t>6707016</w:t>
      </w:r>
    </w:p>
    <w:p>
      <w:pPr>
        <w:spacing w:line="560" w:lineRule="exact"/>
        <w:ind w:firstLine="632" w:firstLineChars="200"/>
        <w:rPr>
          <w:rFonts w:ascii="仿宋_GB2312" w:cs="仿宋_GB2312"/>
          <w:szCs w:val="32"/>
        </w:rPr>
      </w:pPr>
      <w:r>
        <w:rPr>
          <w:rFonts w:hint="eastAsia" w:ascii="仿宋_GB2312" w:hAnsi="仿宋_GB2312" w:cs="仿宋_GB2312"/>
          <w:szCs w:val="32"/>
        </w:rPr>
        <w:t>邮箱：</w:t>
      </w:r>
      <w:r>
        <w:rPr>
          <w:rFonts w:ascii="仿宋_GB2312" w:hAnsi="仿宋_GB2312" w:cs="仿宋_GB2312"/>
          <w:szCs w:val="32"/>
        </w:rPr>
        <w:t>tezcyk@163.com</w:t>
      </w:r>
    </w:p>
    <w:p>
      <w:pPr>
        <w:spacing w:line="560" w:lineRule="exact"/>
        <w:rPr>
          <w:szCs w:val="32"/>
        </w:rPr>
      </w:pPr>
    </w:p>
    <w:p>
      <w:pPr>
        <w:spacing w:line="560" w:lineRule="exact"/>
        <w:ind w:firstLine="632" w:firstLineChars="200"/>
        <w:rPr>
          <w:szCs w:val="32"/>
        </w:rPr>
      </w:pPr>
      <w:r>
        <w:rPr>
          <w:rFonts w:hint="eastAsia"/>
          <w:szCs w:val="32"/>
        </w:rPr>
        <w:t>附件：</w:t>
      </w:r>
      <w:r>
        <w:rPr>
          <w:szCs w:val="32"/>
        </w:rPr>
        <w:t>1.</w:t>
      </w:r>
      <w:r>
        <w:rPr>
          <w:rFonts w:hint="eastAsia"/>
          <w:szCs w:val="32"/>
        </w:rPr>
        <w:t>《清洁厨房标准》</w:t>
      </w:r>
    </w:p>
    <w:p>
      <w:pPr>
        <w:spacing w:line="560" w:lineRule="exact"/>
        <w:ind w:firstLine="1580" w:firstLineChars="500"/>
        <w:rPr>
          <w:szCs w:val="32"/>
        </w:rPr>
      </w:pPr>
      <w:r>
        <w:rPr>
          <w:szCs w:val="32"/>
        </w:rPr>
        <w:t>2.</w:t>
      </w:r>
      <w:r>
        <w:rPr>
          <w:rFonts w:hint="eastAsia"/>
          <w:szCs w:val="32"/>
        </w:rPr>
        <w:t>台儿庄区学校（幼儿园）食品安全集中整治工作情</w:t>
      </w:r>
    </w:p>
    <w:p>
      <w:pPr>
        <w:spacing w:line="560" w:lineRule="exact"/>
        <w:ind w:firstLine="1896" w:firstLineChars="600"/>
        <w:rPr>
          <w:szCs w:val="32"/>
        </w:rPr>
      </w:pPr>
      <w:r>
        <w:rPr>
          <w:rFonts w:hint="eastAsia"/>
          <w:szCs w:val="32"/>
        </w:rPr>
        <w:t>况统计表</w:t>
      </w:r>
    </w:p>
    <w:p>
      <w:pPr>
        <w:spacing w:line="560" w:lineRule="exact"/>
        <w:ind w:left="1889" w:leftChars="498" w:hanging="316" w:hangingChars="100"/>
        <w:rPr>
          <w:szCs w:val="32"/>
        </w:rPr>
        <w:sectPr>
          <w:headerReference r:id="rId3" w:type="default"/>
          <w:footerReference r:id="rId4" w:type="default"/>
          <w:pgSz w:w="11906" w:h="16838"/>
          <w:pgMar w:top="2098" w:right="1474" w:bottom="1984" w:left="1587" w:header="851" w:footer="992" w:gutter="0"/>
          <w:pgNumType w:fmt="numberInDash" w:start="1"/>
          <w:cols w:space="720" w:num="1"/>
          <w:docGrid w:type="linesAndChars" w:linePitch="579" w:charSpace="-842"/>
        </w:sectPr>
      </w:pPr>
      <w:r>
        <w:rPr>
          <w:szCs w:val="32"/>
        </w:rPr>
        <w:t>3.</w:t>
      </w:r>
      <w:r>
        <w:rPr>
          <w:rFonts w:hint="eastAsia"/>
          <w:szCs w:val="32"/>
        </w:rPr>
        <w:t>台儿庄区学校（幼儿园）食堂清洁厨房和智慧食堂进展情况统计表</w:t>
      </w:r>
    </w:p>
    <w:p>
      <w:pPr>
        <w:widowControl/>
        <w:snapToGrid w:val="0"/>
        <w:spacing w:line="560" w:lineRule="atLeast"/>
        <w:rPr>
          <w:rFonts w:ascii="黑体" w:hAnsi="黑体" w:eastAsia="黑体" w:cs="黑体"/>
          <w:kern w:val="0"/>
          <w:szCs w:val="32"/>
        </w:rPr>
      </w:pPr>
      <w:r>
        <w:rPr>
          <w:rFonts w:hint="eastAsia" w:ascii="黑体" w:hAnsi="黑体" w:eastAsia="黑体" w:cs="黑体"/>
          <w:kern w:val="0"/>
          <w:szCs w:val="32"/>
        </w:rPr>
        <w:t>附件</w:t>
      </w:r>
      <w:r>
        <w:rPr>
          <w:rFonts w:ascii="黑体" w:hAnsi="黑体" w:eastAsia="黑体" w:cs="黑体"/>
          <w:kern w:val="0"/>
          <w:szCs w:val="32"/>
        </w:rPr>
        <w:t>1</w:t>
      </w:r>
    </w:p>
    <w:p>
      <w:pPr>
        <w:widowControl/>
        <w:snapToGrid w:val="0"/>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清</w:t>
      </w:r>
      <w:r>
        <w:rPr>
          <w:rFonts w:ascii="方正小标宋简体" w:hAnsi="方正小标宋简体" w:eastAsia="方正小标宋简体" w:cs="方正小标宋简体"/>
          <w:bCs/>
          <w:kern w:val="0"/>
          <w:sz w:val="44"/>
          <w:szCs w:val="44"/>
        </w:rPr>
        <w:t xml:space="preserve"> </w:t>
      </w:r>
      <w:r>
        <w:rPr>
          <w:rFonts w:hint="eastAsia" w:ascii="方正小标宋简体" w:hAnsi="方正小标宋简体" w:eastAsia="方正小标宋简体" w:cs="方正小标宋简体"/>
          <w:bCs/>
          <w:kern w:val="0"/>
          <w:sz w:val="44"/>
          <w:szCs w:val="44"/>
        </w:rPr>
        <w:t>洁</w:t>
      </w:r>
      <w:r>
        <w:rPr>
          <w:rFonts w:ascii="方正小标宋简体" w:hAnsi="方正小标宋简体" w:eastAsia="方正小标宋简体" w:cs="方正小标宋简体"/>
          <w:bCs/>
          <w:kern w:val="0"/>
          <w:sz w:val="44"/>
          <w:szCs w:val="44"/>
        </w:rPr>
        <w:t xml:space="preserve"> </w:t>
      </w:r>
      <w:r>
        <w:rPr>
          <w:rFonts w:hint="eastAsia" w:ascii="方正小标宋简体" w:hAnsi="方正小标宋简体" w:eastAsia="方正小标宋简体" w:cs="方正小标宋简体"/>
          <w:bCs/>
          <w:kern w:val="0"/>
          <w:sz w:val="44"/>
          <w:szCs w:val="44"/>
        </w:rPr>
        <w:t>厨</w:t>
      </w:r>
      <w:r>
        <w:rPr>
          <w:rFonts w:ascii="方正小标宋简体" w:hAnsi="方正小标宋简体" w:eastAsia="方正小标宋简体" w:cs="方正小标宋简体"/>
          <w:bCs/>
          <w:kern w:val="0"/>
          <w:sz w:val="44"/>
          <w:szCs w:val="44"/>
        </w:rPr>
        <w:t xml:space="preserve"> </w:t>
      </w:r>
      <w:r>
        <w:rPr>
          <w:rFonts w:hint="eastAsia" w:ascii="方正小标宋简体" w:hAnsi="方正小标宋简体" w:eastAsia="方正小标宋简体" w:cs="方正小标宋简体"/>
          <w:bCs/>
          <w:kern w:val="0"/>
          <w:sz w:val="44"/>
          <w:szCs w:val="44"/>
        </w:rPr>
        <w:t>房</w:t>
      </w:r>
      <w:r>
        <w:rPr>
          <w:rFonts w:ascii="方正小标宋简体" w:hAnsi="方正小标宋简体" w:eastAsia="方正小标宋简体" w:cs="方正小标宋简体"/>
          <w:bCs/>
          <w:kern w:val="0"/>
          <w:sz w:val="44"/>
          <w:szCs w:val="44"/>
        </w:rPr>
        <w:t xml:space="preserve"> </w:t>
      </w:r>
      <w:r>
        <w:rPr>
          <w:rFonts w:hint="eastAsia" w:ascii="方正小标宋简体" w:hAnsi="方正小标宋简体" w:eastAsia="方正小标宋简体" w:cs="方正小标宋简体"/>
          <w:bCs/>
          <w:kern w:val="0"/>
          <w:sz w:val="44"/>
          <w:szCs w:val="44"/>
        </w:rPr>
        <w:t>标</w:t>
      </w:r>
      <w:r>
        <w:rPr>
          <w:rFonts w:ascii="方正小标宋简体" w:hAnsi="方正小标宋简体" w:eastAsia="方正小标宋简体" w:cs="方正小标宋简体"/>
          <w:bCs/>
          <w:kern w:val="0"/>
          <w:sz w:val="44"/>
          <w:szCs w:val="44"/>
        </w:rPr>
        <w:t xml:space="preserve"> </w:t>
      </w:r>
      <w:r>
        <w:rPr>
          <w:rFonts w:hint="eastAsia" w:ascii="方正小标宋简体" w:hAnsi="方正小标宋简体" w:eastAsia="方正小标宋简体" w:cs="方正小标宋简体"/>
          <w:bCs/>
          <w:kern w:val="0"/>
          <w:sz w:val="44"/>
          <w:szCs w:val="44"/>
        </w:rPr>
        <w:t>准</w:t>
      </w:r>
    </w:p>
    <w:p>
      <w:pPr>
        <w:widowControl/>
        <w:snapToGrid w:val="0"/>
        <w:spacing w:line="320" w:lineRule="atLeast"/>
        <w:jc w:val="center"/>
        <w:rPr>
          <w:rFonts w:ascii="华文中宋" w:hAnsi="华文中宋" w:eastAsia="华文中宋"/>
          <w:b/>
          <w:kern w:val="0"/>
          <w:sz w:val="18"/>
          <w:szCs w:val="18"/>
        </w:rPr>
      </w:pPr>
    </w:p>
    <w:tbl>
      <w:tblPr>
        <w:tblStyle w:val="4"/>
        <w:tblW w:w="14240" w:type="dxa"/>
        <w:jc w:val="center"/>
        <w:tblLayout w:type="fixed"/>
        <w:tblCellMar>
          <w:top w:w="0" w:type="dxa"/>
          <w:left w:w="108" w:type="dxa"/>
          <w:bottom w:w="0" w:type="dxa"/>
          <w:right w:w="108" w:type="dxa"/>
        </w:tblCellMar>
      </w:tblPr>
      <w:tblGrid>
        <w:gridCol w:w="1766"/>
        <w:gridCol w:w="934"/>
        <w:gridCol w:w="10074"/>
        <w:gridCol w:w="1466"/>
      </w:tblGrid>
      <w:tr>
        <w:tblPrEx>
          <w:tblCellMar>
            <w:top w:w="0" w:type="dxa"/>
            <w:left w:w="108" w:type="dxa"/>
            <w:bottom w:w="0" w:type="dxa"/>
            <w:right w:w="108" w:type="dxa"/>
          </w:tblCellMar>
        </w:tblPrEx>
        <w:trPr>
          <w:trHeight w:val="454" w:hRule="atLeast"/>
          <w:jc w:val="center"/>
        </w:trPr>
        <w:tc>
          <w:tcPr>
            <w:tcW w:w="17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kern w:val="0"/>
                <w:sz w:val="24"/>
              </w:rPr>
            </w:pPr>
            <w:r>
              <w:rPr>
                <w:rFonts w:hint="eastAsia" w:ascii="仿宋_GB2312"/>
                <w:kern w:val="0"/>
                <w:sz w:val="24"/>
              </w:rPr>
              <w:t>标准内容</w:t>
            </w: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hint="eastAsia" w:ascii="仿宋_GB2312"/>
                <w:kern w:val="0"/>
                <w:sz w:val="24"/>
              </w:rPr>
              <w:t>编号</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hint="eastAsia" w:ascii="仿宋_GB2312"/>
                <w:kern w:val="0"/>
                <w:sz w:val="24"/>
              </w:rPr>
              <w:t>具体检查项目</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hint="eastAsia" w:ascii="仿宋_GB2312"/>
                <w:kern w:val="0"/>
                <w:sz w:val="24"/>
              </w:rPr>
              <w:t>项目重要性</w:t>
            </w:r>
          </w:p>
        </w:tc>
      </w:tr>
      <w:tr>
        <w:tblPrEx>
          <w:tblCellMar>
            <w:top w:w="0" w:type="dxa"/>
            <w:left w:w="108" w:type="dxa"/>
            <w:bottom w:w="0" w:type="dxa"/>
            <w:right w:w="108" w:type="dxa"/>
          </w:tblCellMar>
        </w:tblPrEx>
        <w:trPr>
          <w:trHeight w:val="759" w:hRule="atLeast"/>
          <w:jc w:val="center"/>
        </w:trPr>
        <w:tc>
          <w:tcPr>
            <w:tcW w:w="1766" w:type="dxa"/>
            <w:vMerge w:val="restart"/>
            <w:tcBorders>
              <w:top w:val="nil"/>
              <w:left w:val="single" w:color="000000" w:sz="4" w:space="0"/>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w:t>
            </w:r>
            <w:r>
              <w:rPr>
                <w:rFonts w:hint="eastAsia" w:ascii="仿宋_GB2312"/>
                <w:kern w:val="0"/>
                <w:sz w:val="24"/>
              </w:rPr>
              <w:t>厨房建筑</w:t>
            </w: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rPr>
                <w:rFonts w:ascii="仿宋_GB2312"/>
                <w:kern w:val="0"/>
                <w:sz w:val="24"/>
              </w:rPr>
            </w:pPr>
            <w:r>
              <w:rPr>
                <w:rFonts w:hint="eastAsia" w:ascii="仿宋_GB2312"/>
                <w:kern w:val="0"/>
                <w:sz w:val="24"/>
              </w:rPr>
              <w:t>选择地势干燥、有给排水条件和电力供应的地方，不得设在易受到污染的区域。距离粪坑、污水池、暴露垃圾场（站）、旱厕等污染源</w:t>
            </w:r>
            <w:r>
              <w:rPr>
                <w:rFonts w:ascii="宋体" w:hAnsi="宋体"/>
                <w:kern w:val="0"/>
                <w:sz w:val="24"/>
              </w:rPr>
              <w:t>25m</w:t>
            </w:r>
            <w:r>
              <w:rPr>
                <w:rFonts w:hint="eastAsia" w:ascii="仿宋_GB2312"/>
                <w:kern w:val="0"/>
                <w:sz w:val="24"/>
              </w:rPr>
              <w:t>以上。</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1083" w:hRule="atLeast"/>
          <w:jc w:val="center"/>
        </w:trPr>
        <w:tc>
          <w:tcPr>
            <w:tcW w:w="1766" w:type="dxa"/>
            <w:vMerge w:val="continue"/>
            <w:tcBorders>
              <w:top w:val="nil"/>
              <w:left w:val="single" w:color="000000" w:sz="4" w:space="0"/>
              <w:bottom w:val="single" w:color="000000"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2</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rPr>
                <w:rFonts w:ascii="仿宋_GB2312"/>
                <w:kern w:val="0"/>
                <w:sz w:val="24"/>
              </w:rPr>
            </w:pPr>
            <w:r>
              <w:rPr>
                <w:rFonts w:hint="eastAsia" w:ascii="仿宋_GB2312"/>
                <w:color w:val="000000"/>
                <w:kern w:val="0"/>
                <w:sz w:val="24"/>
              </w:rPr>
              <w:t>厨房内墙壁、地面、天花板、用具、操作台面保持清洁，所有孔、洞、隙、缝应填实密封。无积灰、无油腻、无蛛网、无卫生死角、无杂物堆放，无地面积水。粗加工、切配、餐用具清洗消毒和烹调等场所有</w:t>
            </w:r>
            <w:r>
              <w:rPr>
                <w:rFonts w:ascii="仿宋_GB2312"/>
                <w:color w:val="000000"/>
                <w:kern w:val="0"/>
                <w:sz w:val="24"/>
              </w:rPr>
              <w:t>1.5m</w:t>
            </w:r>
            <w:r>
              <w:rPr>
                <w:rFonts w:hint="eastAsia" w:ascii="仿宋_GB2312"/>
                <w:color w:val="000000"/>
                <w:kern w:val="0"/>
                <w:sz w:val="24"/>
              </w:rPr>
              <w:t>以上光滑、不吸水、浅色、耐用和易清洗的材料制成的墙裙。</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624" w:hRule="atLeast"/>
          <w:jc w:val="center"/>
        </w:trPr>
        <w:tc>
          <w:tcPr>
            <w:tcW w:w="1766" w:type="dxa"/>
            <w:vMerge w:val="continue"/>
            <w:tcBorders>
              <w:top w:val="nil"/>
              <w:left w:val="single" w:color="000000" w:sz="4" w:space="0"/>
              <w:bottom w:val="single" w:color="000000"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3</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上下水畅通，地面易冲洗、防滑，平整、无破损，排水沟出口有网眼孔径小于</w:t>
            </w:r>
            <w:r>
              <w:rPr>
                <w:rFonts w:ascii="仿宋_GB2312"/>
                <w:color w:val="000000"/>
                <w:kern w:val="0"/>
                <w:sz w:val="24"/>
              </w:rPr>
              <w:t>6mm</w:t>
            </w:r>
            <w:r>
              <w:rPr>
                <w:rFonts w:hint="eastAsia" w:ascii="仿宋_GB2312"/>
                <w:color w:val="000000"/>
                <w:kern w:val="0"/>
                <w:sz w:val="24"/>
              </w:rPr>
              <w:t>的金属隔栅或网罩。</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527" w:hRule="atLeast"/>
          <w:jc w:val="center"/>
        </w:trPr>
        <w:tc>
          <w:tcPr>
            <w:tcW w:w="1766" w:type="dxa"/>
            <w:vMerge w:val="continue"/>
            <w:tcBorders>
              <w:top w:val="nil"/>
              <w:left w:val="single" w:color="000000" w:sz="4" w:space="0"/>
              <w:bottom w:val="single" w:color="000000"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4</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天花板采用无毒、无异味、不吸水、表面光洁、耐腐蚀、耐温、浅色材料涂覆或装修。无霉斑。</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772" w:hRule="atLeast"/>
          <w:jc w:val="center"/>
        </w:trPr>
        <w:tc>
          <w:tcPr>
            <w:tcW w:w="1766" w:type="dxa"/>
            <w:vMerge w:val="continue"/>
            <w:tcBorders>
              <w:top w:val="nil"/>
              <w:left w:val="single" w:color="000000" w:sz="4" w:space="0"/>
              <w:bottom w:val="single" w:color="auto"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auto"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5</w:t>
            </w:r>
          </w:p>
        </w:tc>
        <w:tc>
          <w:tcPr>
            <w:tcW w:w="10074" w:type="dxa"/>
            <w:tcBorders>
              <w:top w:val="single" w:color="000000" w:sz="4" w:space="0"/>
              <w:left w:val="nil"/>
              <w:bottom w:val="single" w:color="auto"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门、窗装配严密，与外界直接相通的门和可开启的窗设有易于拆洗且不生锈的防蝇纱网或设置空气幕，与外界直接相通的门能自动关闭。</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719" w:hRule="atLeast"/>
          <w:jc w:val="center"/>
        </w:trPr>
        <w:tc>
          <w:tcPr>
            <w:tcW w:w="17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2.</w:t>
            </w:r>
            <w:r>
              <w:rPr>
                <w:rFonts w:hint="eastAsia" w:ascii="仿宋_GB2312"/>
                <w:kern w:val="0"/>
                <w:sz w:val="24"/>
              </w:rPr>
              <w:t>设备设施</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6</w:t>
            </w:r>
          </w:p>
        </w:tc>
        <w:tc>
          <w:tcPr>
            <w:tcW w:w="1007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炉灶间应使用砖砌固定炉灶，四周应贴瓷砖，且出灰在外。炉灶上方应安装大于灶面的排油烟装置。</w:t>
            </w:r>
          </w:p>
        </w:tc>
        <w:tc>
          <w:tcPr>
            <w:tcW w:w="1466"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689" w:hRule="atLeast"/>
          <w:jc w:val="center"/>
        </w:trPr>
        <w:tc>
          <w:tcPr>
            <w:tcW w:w="17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kern w:val="0"/>
                <w:sz w:val="24"/>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7</w:t>
            </w:r>
          </w:p>
        </w:tc>
        <w:tc>
          <w:tcPr>
            <w:tcW w:w="1007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烹饪场所通风排油烟装置，应采用机械排风，产生油烟的设备上方应加设附有机械排风及油烟过滤的排气装置，过滤器应便于清洗和更换。排气口装有网眼孔径小于</w:t>
            </w:r>
            <w:r>
              <w:rPr>
                <w:rFonts w:ascii="仿宋_GB2312"/>
                <w:color w:val="000000"/>
                <w:kern w:val="0"/>
                <w:sz w:val="24"/>
              </w:rPr>
              <w:t>6mm</w:t>
            </w:r>
            <w:r>
              <w:rPr>
                <w:rFonts w:hint="eastAsia" w:ascii="仿宋_GB2312"/>
                <w:color w:val="000000"/>
                <w:kern w:val="0"/>
                <w:sz w:val="24"/>
              </w:rPr>
              <w:t>的金属隔栅或网罩。</w:t>
            </w:r>
          </w:p>
        </w:tc>
        <w:tc>
          <w:tcPr>
            <w:tcW w:w="1466"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624" w:hRule="atLeast"/>
          <w:jc w:val="center"/>
        </w:trPr>
        <w:tc>
          <w:tcPr>
            <w:tcW w:w="17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kern w:val="0"/>
                <w:sz w:val="24"/>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8</w:t>
            </w:r>
          </w:p>
        </w:tc>
        <w:tc>
          <w:tcPr>
            <w:tcW w:w="1007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产生大量蒸汽的设备上方应加设机械排风排气装置，宜分隔成小间，防止结露并做好凝结水的引泄。</w:t>
            </w:r>
          </w:p>
        </w:tc>
        <w:tc>
          <w:tcPr>
            <w:tcW w:w="1466"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447" w:hRule="atLeast"/>
          <w:jc w:val="center"/>
        </w:trPr>
        <w:tc>
          <w:tcPr>
            <w:tcW w:w="1766" w:type="dxa"/>
            <w:vMerge w:val="continue"/>
            <w:tcBorders>
              <w:top w:val="single" w:color="auto" w:sz="4" w:space="0"/>
              <w:left w:val="single" w:color="auto" w:sz="4" w:space="0"/>
              <w:bottom w:val="single" w:color="000000"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auto"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9</w:t>
            </w:r>
          </w:p>
        </w:tc>
        <w:tc>
          <w:tcPr>
            <w:tcW w:w="10074" w:type="dxa"/>
            <w:tcBorders>
              <w:top w:val="single" w:color="auto" w:sz="4" w:space="0"/>
              <w:left w:val="nil"/>
              <w:bottom w:val="single" w:color="000000"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工作台面、用具应无毒无害、易于清洗，工作台、橱柜内外无食物残留、无卫生死角。</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482" w:hRule="atLeast"/>
          <w:jc w:val="center"/>
        </w:trPr>
        <w:tc>
          <w:tcPr>
            <w:tcW w:w="1766" w:type="dxa"/>
            <w:vMerge w:val="continue"/>
            <w:tcBorders>
              <w:top w:val="nil"/>
              <w:left w:val="single" w:color="auto" w:sz="4" w:space="0"/>
              <w:bottom w:val="single" w:color="auto"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auto"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10</w:t>
            </w:r>
          </w:p>
        </w:tc>
        <w:tc>
          <w:tcPr>
            <w:tcW w:w="10074" w:type="dxa"/>
            <w:tcBorders>
              <w:top w:val="single" w:color="000000" w:sz="4" w:space="0"/>
              <w:left w:val="nil"/>
              <w:bottom w:val="single" w:color="auto"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加工间及库房设有防鼠设施。阴沟、下水道、墙壁通风口设有防鼠网。无老鼠、蟑螂。</w:t>
            </w:r>
          </w:p>
        </w:tc>
        <w:tc>
          <w:tcPr>
            <w:tcW w:w="1466" w:type="dxa"/>
            <w:tcBorders>
              <w:top w:val="single" w:color="000000" w:sz="4" w:space="0"/>
              <w:left w:val="nil"/>
              <w:bottom w:val="single" w:color="auto"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699" w:hRule="atLeast"/>
          <w:jc w:val="center"/>
        </w:trPr>
        <w:tc>
          <w:tcPr>
            <w:tcW w:w="1766" w:type="dxa"/>
            <w:vMerge w:val="restart"/>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3.</w:t>
            </w:r>
            <w:r>
              <w:rPr>
                <w:rFonts w:hint="eastAsia" w:ascii="仿宋_GB2312"/>
                <w:kern w:val="0"/>
                <w:sz w:val="24"/>
              </w:rPr>
              <w:t>炊具用具</w:t>
            </w:r>
          </w:p>
        </w:tc>
        <w:tc>
          <w:tcPr>
            <w:tcW w:w="934" w:type="dxa"/>
            <w:tcBorders>
              <w:top w:val="single" w:color="auto" w:sz="4" w:space="0"/>
              <w:left w:val="nil"/>
              <w:bottom w:val="single" w:color="auto"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11</w:t>
            </w:r>
          </w:p>
        </w:tc>
        <w:tc>
          <w:tcPr>
            <w:tcW w:w="10074" w:type="dxa"/>
            <w:tcBorders>
              <w:top w:val="single" w:color="auto" w:sz="4" w:space="0"/>
              <w:left w:val="nil"/>
              <w:bottom w:val="single" w:color="auto"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刀、菜墩、抹布应分色配置，保持清洁卫生，提倡使用食用级塑料菜墩。熟食间内盛装食品的用具、容器、冰箱专用，并有明显标记。</w:t>
            </w:r>
          </w:p>
        </w:tc>
        <w:tc>
          <w:tcPr>
            <w:tcW w:w="14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734" w:hRule="atLeast"/>
          <w:jc w:val="center"/>
        </w:trPr>
        <w:tc>
          <w:tcPr>
            <w:tcW w:w="1766" w:type="dxa"/>
            <w:vMerge w:val="continue"/>
            <w:tcBorders>
              <w:top w:val="single" w:color="auto" w:sz="4" w:space="0"/>
              <w:left w:val="single" w:color="auto" w:sz="4" w:space="0"/>
              <w:bottom w:val="single" w:color="000000"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auto"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12</w:t>
            </w:r>
          </w:p>
        </w:tc>
        <w:tc>
          <w:tcPr>
            <w:tcW w:w="10074" w:type="dxa"/>
            <w:tcBorders>
              <w:top w:val="single" w:color="auto" w:sz="4" w:space="0"/>
              <w:left w:val="nil"/>
              <w:bottom w:val="single" w:color="000000"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洗菜及餐具洗涤消毒水池应专用，水池四周墙壁光洁易清洗。严格实行餐具一洗、二冲、三消毒、四保洁制度。餐具光滑、洁净、无油腻、无食物残渣。清洁餐具应存放保洁柜内。</w:t>
            </w:r>
          </w:p>
        </w:tc>
        <w:tc>
          <w:tcPr>
            <w:tcW w:w="1466" w:type="dxa"/>
            <w:tcBorders>
              <w:top w:val="single" w:color="auto"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624" w:hRule="atLeast"/>
          <w:jc w:val="center"/>
        </w:trPr>
        <w:tc>
          <w:tcPr>
            <w:tcW w:w="1766" w:type="dxa"/>
            <w:vMerge w:val="continue"/>
            <w:tcBorders>
              <w:top w:val="nil"/>
              <w:left w:val="single" w:color="auto" w:sz="4" w:space="0"/>
              <w:bottom w:val="single" w:color="000000"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13</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冷藏、冷冻柜（库）数量能使原料、半成品和成品分开存放，有明显区分标识。冰箱温度指示准确，定期清霜无异味。</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482" w:hRule="atLeast"/>
          <w:jc w:val="center"/>
        </w:trPr>
        <w:tc>
          <w:tcPr>
            <w:tcW w:w="1766" w:type="dxa"/>
            <w:vMerge w:val="continue"/>
            <w:tcBorders>
              <w:top w:val="nil"/>
              <w:left w:val="single" w:color="auto" w:sz="4" w:space="0"/>
              <w:bottom w:val="single" w:color="000000"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14</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设专用于拖把等清洁工具、用具的清洗水池，其位置不会污染食品及其加工制作过程。</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744" w:hRule="atLeast"/>
          <w:jc w:val="center"/>
        </w:trPr>
        <w:tc>
          <w:tcPr>
            <w:tcW w:w="1766" w:type="dxa"/>
            <w:vMerge w:val="restart"/>
            <w:tcBorders>
              <w:top w:val="nil"/>
              <w:left w:val="single" w:color="000000" w:sz="4" w:space="0"/>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4.</w:t>
            </w:r>
            <w:r>
              <w:rPr>
                <w:rFonts w:hint="eastAsia" w:ascii="仿宋_GB2312"/>
                <w:kern w:val="0"/>
                <w:sz w:val="24"/>
              </w:rPr>
              <w:t>人员卫生</w:t>
            </w: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15</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工作时应穿戴整洁工作衣帽，头发不得外露。工作前、方便后应彻底洗手，保持双手清洁。不得在卫生间内穿工作服。</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478" w:hRule="atLeast"/>
          <w:jc w:val="center"/>
        </w:trPr>
        <w:tc>
          <w:tcPr>
            <w:tcW w:w="1766" w:type="dxa"/>
            <w:vMerge w:val="continue"/>
            <w:tcBorders>
              <w:top w:val="nil"/>
              <w:left w:val="single" w:color="000000" w:sz="4" w:space="0"/>
              <w:bottom w:val="single" w:color="000000"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16</w:t>
            </w:r>
          </w:p>
        </w:tc>
        <w:tc>
          <w:tcPr>
            <w:tcW w:w="10074" w:type="dxa"/>
            <w:tcBorders>
              <w:top w:val="single" w:color="000000" w:sz="4" w:space="0"/>
              <w:left w:val="nil"/>
              <w:bottom w:val="single" w:color="000000"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不留胡须、不染指甲留长甲。不在工作区域抽烟。</w:t>
            </w:r>
          </w:p>
        </w:tc>
        <w:tc>
          <w:tcPr>
            <w:tcW w:w="1466"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497" w:hRule="atLeast"/>
          <w:jc w:val="center"/>
        </w:trPr>
        <w:tc>
          <w:tcPr>
            <w:tcW w:w="1766" w:type="dxa"/>
            <w:vMerge w:val="continue"/>
            <w:tcBorders>
              <w:top w:val="nil"/>
              <w:left w:val="single" w:color="000000" w:sz="4" w:space="0"/>
              <w:bottom w:val="single" w:color="auto" w:sz="4" w:space="0"/>
              <w:right w:val="single" w:color="000000" w:sz="4" w:space="0"/>
            </w:tcBorders>
            <w:vAlign w:val="center"/>
          </w:tcPr>
          <w:p>
            <w:pPr>
              <w:adjustRightInd w:val="0"/>
              <w:snapToGrid w:val="0"/>
              <w:jc w:val="left"/>
              <w:rPr>
                <w:rFonts w:ascii="仿宋_GB2312"/>
                <w:kern w:val="0"/>
                <w:sz w:val="24"/>
              </w:rPr>
            </w:pPr>
          </w:p>
        </w:tc>
        <w:tc>
          <w:tcPr>
            <w:tcW w:w="934" w:type="dxa"/>
            <w:tcBorders>
              <w:top w:val="single" w:color="000000" w:sz="4" w:space="0"/>
              <w:left w:val="nil"/>
              <w:bottom w:val="single" w:color="auto"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17</w:t>
            </w:r>
          </w:p>
        </w:tc>
        <w:tc>
          <w:tcPr>
            <w:tcW w:w="10074" w:type="dxa"/>
            <w:tcBorders>
              <w:top w:val="single" w:color="000000" w:sz="4" w:space="0"/>
              <w:left w:val="nil"/>
              <w:bottom w:val="single" w:color="auto" w:sz="4" w:space="0"/>
              <w:right w:val="single" w:color="000000"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咳嗽、吐痰、打喷嚏等要避开食物。有传染病时，应停止一切厨房工作。</w:t>
            </w:r>
          </w:p>
        </w:tc>
        <w:tc>
          <w:tcPr>
            <w:tcW w:w="1466" w:type="dxa"/>
            <w:tcBorders>
              <w:top w:val="single" w:color="000000" w:sz="4" w:space="0"/>
              <w:left w:val="nil"/>
              <w:bottom w:val="single" w:color="auto" w:sz="4" w:space="0"/>
              <w:right w:val="single" w:color="000000"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427" w:hRule="atLeast"/>
          <w:jc w:val="center"/>
        </w:trPr>
        <w:tc>
          <w:tcPr>
            <w:tcW w:w="17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5.</w:t>
            </w:r>
            <w:r>
              <w:rPr>
                <w:rFonts w:hint="eastAsia" w:ascii="仿宋_GB2312"/>
                <w:kern w:val="0"/>
                <w:sz w:val="24"/>
              </w:rPr>
              <w:t>餐厨环境</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18</w:t>
            </w:r>
          </w:p>
        </w:tc>
        <w:tc>
          <w:tcPr>
            <w:tcW w:w="1007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厨房内无油烟、灰尘和异味，厨房清洁扫除应及时。杀虫剂与洗涤剂分开放置，专人管理。</w:t>
            </w:r>
          </w:p>
        </w:tc>
        <w:tc>
          <w:tcPr>
            <w:tcW w:w="14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427" w:hRule="atLeast"/>
          <w:jc w:val="center"/>
        </w:trPr>
        <w:tc>
          <w:tcPr>
            <w:tcW w:w="17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kern w:val="0"/>
                <w:sz w:val="24"/>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19</w:t>
            </w:r>
          </w:p>
        </w:tc>
        <w:tc>
          <w:tcPr>
            <w:tcW w:w="1007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厨房内不得躺卧、住宿。不存放衣物、鞋屐、杂物等个人物品。厨房内不得有厕所。</w:t>
            </w:r>
          </w:p>
        </w:tc>
        <w:tc>
          <w:tcPr>
            <w:tcW w:w="14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w:t>
            </w:r>
          </w:p>
        </w:tc>
      </w:tr>
      <w:tr>
        <w:tblPrEx>
          <w:tblCellMar>
            <w:top w:w="0" w:type="dxa"/>
            <w:left w:w="108" w:type="dxa"/>
            <w:bottom w:w="0" w:type="dxa"/>
            <w:right w:w="108" w:type="dxa"/>
          </w:tblCellMar>
        </w:tblPrEx>
        <w:trPr>
          <w:trHeight w:val="941" w:hRule="atLeast"/>
          <w:jc w:val="center"/>
        </w:trPr>
        <w:tc>
          <w:tcPr>
            <w:tcW w:w="17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kern w:val="0"/>
                <w:sz w:val="24"/>
              </w:rPr>
            </w:pP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20</w:t>
            </w:r>
          </w:p>
        </w:tc>
        <w:tc>
          <w:tcPr>
            <w:tcW w:w="1007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color w:val="000000"/>
                <w:kern w:val="0"/>
                <w:sz w:val="24"/>
              </w:rPr>
            </w:pPr>
            <w:r>
              <w:rPr>
                <w:rFonts w:hint="eastAsia" w:ascii="仿宋_GB2312"/>
                <w:color w:val="000000"/>
                <w:kern w:val="0"/>
                <w:sz w:val="24"/>
              </w:rPr>
              <w:t>应备有加盖餐厨废弃物容器，并易于清洗。贯彻执行《山东省餐厨废弃物管理办法》，餐厨废弃物应实行桶装化、袋装化、密闭化管理，及时清运，不在厨房隔夜，容器四周应保持干净。废弃物容器应与加工用容器有明显的区分标识。</w:t>
            </w:r>
          </w:p>
        </w:tc>
        <w:tc>
          <w:tcPr>
            <w:tcW w:w="14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kern w:val="0"/>
                <w:sz w:val="24"/>
              </w:rPr>
            </w:pPr>
            <w:r>
              <w:rPr>
                <w:rFonts w:ascii="仿宋_GB2312"/>
                <w:kern w:val="0"/>
                <w:sz w:val="24"/>
              </w:rPr>
              <w:t>**</w:t>
            </w:r>
          </w:p>
        </w:tc>
      </w:tr>
    </w:tbl>
    <w:p>
      <w:pPr>
        <w:widowControl/>
        <w:snapToGrid w:val="0"/>
        <w:spacing w:line="440" w:lineRule="exact"/>
        <w:ind w:firstLine="560"/>
        <w:rPr>
          <w:rFonts w:ascii="仿宋_GB2312"/>
          <w:kern w:val="0"/>
          <w:sz w:val="24"/>
          <w:szCs w:val="24"/>
        </w:rPr>
      </w:pPr>
      <w:r>
        <w:rPr>
          <w:rFonts w:hint="eastAsia" w:ascii="仿宋_GB2312"/>
          <w:kern w:val="0"/>
          <w:sz w:val="24"/>
          <w:szCs w:val="24"/>
        </w:rPr>
        <w:t>注：</w:t>
      </w:r>
      <w:r>
        <w:rPr>
          <w:rFonts w:ascii="宋体" w:hAnsi="宋体"/>
          <w:kern w:val="0"/>
          <w:sz w:val="24"/>
          <w:szCs w:val="24"/>
        </w:rPr>
        <w:t>1</w:t>
      </w:r>
      <w:r>
        <w:rPr>
          <w:rFonts w:hint="eastAsia" w:ascii="仿宋_GB2312"/>
          <w:kern w:val="0"/>
          <w:sz w:val="24"/>
          <w:szCs w:val="24"/>
        </w:rPr>
        <w:t>．本标准共</w:t>
      </w:r>
      <w:r>
        <w:rPr>
          <w:rFonts w:ascii="仿宋_GB2312"/>
          <w:kern w:val="0"/>
          <w:sz w:val="24"/>
          <w:szCs w:val="24"/>
        </w:rPr>
        <w:t>5</w:t>
      </w:r>
      <w:r>
        <w:rPr>
          <w:rFonts w:hint="eastAsia" w:ascii="仿宋_GB2312"/>
          <w:kern w:val="0"/>
          <w:sz w:val="24"/>
          <w:szCs w:val="24"/>
        </w:rPr>
        <w:t>个方面</w:t>
      </w:r>
      <w:r>
        <w:rPr>
          <w:rFonts w:ascii="仿宋_GB2312"/>
          <w:kern w:val="0"/>
          <w:sz w:val="24"/>
          <w:szCs w:val="24"/>
        </w:rPr>
        <w:t>20</w:t>
      </w:r>
      <w:r>
        <w:rPr>
          <w:rFonts w:hint="eastAsia" w:ascii="仿宋_GB2312"/>
          <w:kern w:val="0"/>
          <w:sz w:val="24"/>
          <w:szCs w:val="24"/>
        </w:rPr>
        <w:t>项，其中关键项</w:t>
      </w:r>
      <w:r>
        <w:rPr>
          <w:rFonts w:ascii="仿宋_GB2312"/>
          <w:kern w:val="0"/>
          <w:sz w:val="24"/>
          <w:szCs w:val="24"/>
        </w:rPr>
        <w:t>13</w:t>
      </w:r>
      <w:r>
        <w:rPr>
          <w:rFonts w:hint="eastAsia" w:ascii="仿宋_GB2312"/>
          <w:kern w:val="0"/>
          <w:sz w:val="24"/>
          <w:szCs w:val="24"/>
        </w:rPr>
        <w:t>项，一般项</w:t>
      </w:r>
      <w:r>
        <w:rPr>
          <w:rFonts w:ascii="仿宋_GB2312"/>
          <w:kern w:val="0"/>
          <w:sz w:val="24"/>
          <w:szCs w:val="24"/>
        </w:rPr>
        <w:t>7</w:t>
      </w:r>
      <w:r>
        <w:rPr>
          <w:rFonts w:hint="eastAsia" w:ascii="仿宋_GB2312"/>
          <w:kern w:val="0"/>
          <w:sz w:val="24"/>
          <w:szCs w:val="24"/>
        </w:rPr>
        <w:t>项。</w:t>
      </w:r>
      <w:r>
        <w:rPr>
          <w:rFonts w:ascii="仿宋_GB2312"/>
          <w:kern w:val="0"/>
          <w:sz w:val="24"/>
          <w:szCs w:val="24"/>
        </w:rPr>
        <w:t>**</w:t>
      </w:r>
      <w:r>
        <w:rPr>
          <w:rFonts w:hint="eastAsia" w:ascii="仿宋_GB2312"/>
          <w:kern w:val="0"/>
          <w:sz w:val="24"/>
          <w:szCs w:val="24"/>
        </w:rPr>
        <w:t>表示关键项，</w:t>
      </w:r>
      <w:r>
        <w:rPr>
          <w:rFonts w:ascii="仿宋_GB2312"/>
          <w:kern w:val="0"/>
          <w:sz w:val="24"/>
          <w:szCs w:val="24"/>
        </w:rPr>
        <w:t>*</w:t>
      </w:r>
      <w:r>
        <w:rPr>
          <w:rFonts w:hint="eastAsia" w:ascii="仿宋_GB2312"/>
          <w:kern w:val="0"/>
          <w:sz w:val="24"/>
          <w:szCs w:val="24"/>
        </w:rPr>
        <w:t>为一般项。</w:t>
      </w:r>
    </w:p>
    <w:p>
      <w:pPr>
        <w:widowControl/>
        <w:snapToGrid w:val="0"/>
        <w:spacing w:line="440" w:lineRule="exact"/>
        <w:ind w:firstLine="944" w:firstLineChars="400"/>
        <w:rPr>
          <w:rFonts w:ascii="仿宋_GB2312"/>
          <w:kern w:val="0"/>
          <w:sz w:val="24"/>
          <w:szCs w:val="24"/>
        </w:rPr>
      </w:pPr>
      <w:r>
        <w:rPr>
          <w:rFonts w:ascii="仿宋_GB2312"/>
          <w:kern w:val="0"/>
          <w:sz w:val="24"/>
          <w:szCs w:val="24"/>
        </w:rPr>
        <w:t>2</w:t>
      </w:r>
      <w:r>
        <w:rPr>
          <w:rFonts w:hint="eastAsia" w:ascii="仿宋_GB2312"/>
          <w:kern w:val="0"/>
          <w:sz w:val="24"/>
          <w:szCs w:val="24"/>
        </w:rPr>
        <w:t>．项目中的内容如部分不符合，应作为不符合。</w:t>
      </w:r>
    </w:p>
    <w:p>
      <w:pPr>
        <w:spacing w:line="440" w:lineRule="exact"/>
        <w:ind w:firstLine="944" w:firstLineChars="400"/>
        <w:rPr>
          <w:sz w:val="24"/>
          <w:szCs w:val="24"/>
        </w:rPr>
      </w:pPr>
      <w:r>
        <w:rPr>
          <w:rFonts w:ascii="仿宋_GB2312"/>
          <w:kern w:val="0"/>
          <w:sz w:val="24"/>
          <w:szCs w:val="24"/>
        </w:rPr>
        <w:t xml:space="preserve">3. </w:t>
      </w:r>
      <w:r>
        <w:rPr>
          <w:rFonts w:hint="eastAsia" w:ascii="仿宋_GB2312"/>
          <w:kern w:val="0"/>
          <w:sz w:val="24"/>
          <w:szCs w:val="24"/>
        </w:rPr>
        <w:t>关键项有</w:t>
      </w:r>
      <w:r>
        <w:rPr>
          <w:rFonts w:ascii="仿宋_GB2312"/>
          <w:kern w:val="0"/>
          <w:sz w:val="24"/>
          <w:szCs w:val="24"/>
        </w:rPr>
        <w:t>1</w:t>
      </w:r>
      <w:r>
        <w:rPr>
          <w:rFonts w:hint="eastAsia" w:ascii="仿宋_GB2312"/>
          <w:kern w:val="0"/>
          <w:sz w:val="24"/>
          <w:szCs w:val="24"/>
        </w:rPr>
        <w:t>项及以上不符合或一般项有</w:t>
      </w:r>
      <w:r>
        <w:rPr>
          <w:rFonts w:ascii="仿宋_GB2312"/>
          <w:kern w:val="0"/>
          <w:sz w:val="24"/>
          <w:szCs w:val="24"/>
        </w:rPr>
        <w:t>3</w:t>
      </w:r>
      <w:r>
        <w:rPr>
          <w:rFonts w:hint="eastAsia" w:ascii="仿宋_GB2312"/>
          <w:kern w:val="0"/>
          <w:sz w:val="24"/>
          <w:szCs w:val="24"/>
        </w:rPr>
        <w:t>项及以上不符合即为不合格。</w:t>
      </w:r>
      <w:r>
        <w:rPr>
          <w:rFonts w:ascii="仿宋_GB2312"/>
          <w:kern w:val="0"/>
          <w:sz w:val="24"/>
          <w:szCs w:val="24"/>
        </w:rPr>
        <w:t xml:space="preserve">  </w:t>
      </w:r>
    </w:p>
    <w:p>
      <w:pPr>
        <w:spacing w:line="570" w:lineRule="exact"/>
        <w:rPr>
          <w:szCs w:val="32"/>
        </w:rPr>
        <w:sectPr>
          <w:pgSz w:w="16838" w:h="11906" w:orient="landscape"/>
          <w:pgMar w:top="1587" w:right="2098" w:bottom="1474" w:left="1984" w:header="851" w:footer="992" w:gutter="0"/>
          <w:pgNumType w:fmt="numberInDash"/>
          <w:cols w:space="720" w:num="1"/>
          <w:docGrid w:type="linesAndChars" w:linePitch="579" w:charSpace="-842"/>
        </w:sectPr>
      </w:pPr>
    </w:p>
    <w:p>
      <w:pPr>
        <w:spacing w:line="560" w:lineRule="exact"/>
        <w:rPr>
          <w:rFonts w:ascii="仿宋_GB2312" w:cs="仿宋_GB2312"/>
          <w:b/>
          <w:bCs/>
          <w:szCs w:val="32"/>
        </w:rPr>
      </w:pPr>
      <w:r>
        <w:rPr>
          <w:rFonts w:hint="eastAsia" w:ascii="黑体" w:hAnsi="黑体" w:eastAsia="黑体" w:cs="黑体"/>
          <w:szCs w:val="32"/>
        </w:rPr>
        <w:t>附件</w:t>
      </w:r>
      <w:r>
        <w:rPr>
          <w:rFonts w:ascii="黑体" w:hAnsi="黑体" w:eastAsia="黑体" w:cs="黑体"/>
          <w:szCs w:val="32"/>
        </w:rPr>
        <w:t>2</w:t>
      </w:r>
      <w:r>
        <w:rPr>
          <w:rFonts w:ascii="仿宋_GB2312" w:hAnsi="仿宋_GB2312" w:cs="仿宋_GB2312"/>
          <w:b/>
          <w:bCs/>
          <w:szCs w:val="32"/>
        </w:rPr>
        <w:t xml:space="preserve">    </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台儿庄区学校（幼儿园）食品安全集中整治工作情况统计表</w:t>
      </w:r>
    </w:p>
    <w:p>
      <w:pPr>
        <w:spacing w:line="560" w:lineRule="exact"/>
        <w:ind w:firstLine="632" w:firstLineChars="200"/>
        <w:rPr>
          <w:rFonts w:ascii="仿宋_GB2312" w:cs="仿宋_GB2312"/>
          <w:szCs w:val="32"/>
        </w:rPr>
      </w:pPr>
    </w:p>
    <w:tbl>
      <w:tblPr>
        <w:tblStyle w:val="4"/>
        <w:tblW w:w="13980" w:type="dxa"/>
        <w:jc w:val="center"/>
        <w:tblLayout w:type="fixed"/>
        <w:tblCellMar>
          <w:top w:w="0" w:type="dxa"/>
          <w:left w:w="0" w:type="dxa"/>
          <w:bottom w:w="0" w:type="dxa"/>
          <w:right w:w="0" w:type="dxa"/>
        </w:tblCellMar>
      </w:tblPr>
      <w:tblGrid>
        <w:gridCol w:w="825"/>
        <w:gridCol w:w="1213"/>
        <w:gridCol w:w="872"/>
        <w:gridCol w:w="1056"/>
        <w:gridCol w:w="1213"/>
        <w:gridCol w:w="692"/>
        <w:gridCol w:w="716"/>
        <w:gridCol w:w="716"/>
        <w:gridCol w:w="1076"/>
        <w:gridCol w:w="1275"/>
        <w:gridCol w:w="1276"/>
        <w:gridCol w:w="1095"/>
        <w:gridCol w:w="899"/>
        <w:gridCol w:w="1056"/>
      </w:tblGrid>
      <w:tr>
        <w:tblPrEx>
          <w:tblCellMar>
            <w:top w:w="0" w:type="dxa"/>
            <w:left w:w="0" w:type="dxa"/>
            <w:bottom w:w="0" w:type="dxa"/>
            <w:right w:w="0" w:type="dxa"/>
          </w:tblCellMar>
        </w:tblPrEx>
        <w:trPr>
          <w:trHeight w:val="48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kern w:val="0"/>
                <w:sz w:val="24"/>
                <w:szCs w:val="24"/>
              </w:rPr>
            </w:pPr>
            <w:r>
              <w:rPr>
                <w:rFonts w:hint="eastAsia" w:ascii="仿宋_GB2312" w:hAnsi="仿宋_GB2312" w:cs="仿宋_GB2312"/>
                <w:color w:val="000000"/>
                <w:kern w:val="0"/>
                <w:sz w:val="24"/>
                <w:szCs w:val="24"/>
              </w:rPr>
              <w:t>检查</w:t>
            </w:r>
          </w:p>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情况</w:t>
            </w:r>
          </w:p>
        </w:tc>
        <w:tc>
          <w:tcPr>
            <w:tcW w:w="12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组织检查次数</w:t>
            </w:r>
          </w:p>
        </w:tc>
        <w:tc>
          <w:tcPr>
            <w:tcW w:w="45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检查学校（幼儿园）食堂情况</w:t>
            </w:r>
          </w:p>
        </w:tc>
        <w:tc>
          <w:tcPr>
            <w:tcW w:w="739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实施处罚情况</w:t>
            </w:r>
          </w:p>
        </w:tc>
      </w:tr>
      <w:tr>
        <w:tblPrEx>
          <w:tblCellMar>
            <w:top w:w="0" w:type="dxa"/>
            <w:left w:w="0" w:type="dxa"/>
            <w:bottom w:w="0" w:type="dxa"/>
            <w:right w:w="0" w:type="dxa"/>
          </w:tblCellMar>
        </w:tblPrEx>
        <w:trPr>
          <w:trHeight w:val="958"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2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检查</w:t>
            </w:r>
            <w:r>
              <w:rPr>
                <w:rFonts w:ascii="仿宋_GB2312" w:cs="仿宋_GB2312"/>
                <w:color w:val="000000"/>
                <w:kern w:val="0"/>
                <w:sz w:val="24"/>
                <w:szCs w:val="24"/>
              </w:rPr>
              <w:br w:type="textWrapping"/>
            </w:r>
            <w:r>
              <w:rPr>
                <w:rFonts w:hint="eastAsia" w:ascii="仿宋_GB2312" w:hAnsi="仿宋_GB2312" w:cs="仿宋_GB2312"/>
                <w:color w:val="000000"/>
                <w:kern w:val="0"/>
                <w:sz w:val="24"/>
                <w:szCs w:val="24"/>
              </w:rPr>
              <w:t>学校</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发现安全隐患数量</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已整改安全隐患数量</w:t>
            </w:r>
          </w:p>
        </w:tc>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重大安全</w:t>
            </w:r>
            <w:r>
              <w:rPr>
                <w:rFonts w:ascii="仿宋_GB2312" w:cs="仿宋_GB2312"/>
                <w:color w:val="000000"/>
                <w:kern w:val="0"/>
                <w:sz w:val="24"/>
                <w:szCs w:val="24"/>
              </w:rPr>
              <w:br w:type="textWrapping"/>
            </w:r>
            <w:r>
              <w:rPr>
                <w:rFonts w:hint="eastAsia" w:ascii="仿宋_GB2312" w:hAnsi="仿宋_GB2312" w:cs="仿宋_GB2312"/>
                <w:color w:val="000000"/>
                <w:kern w:val="0"/>
                <w:sz w:val="24"/>
                <w:szCs w:val="24"/>
              </w:rPr>
              <w:t>隐患</w:t>
            </w: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挂牌</w:t>
            </w:r>
            <w:r>
              <w:rPr>
                <w:rFonts w:ascii="仿宋_GB2312" w:cs="仿宋_GB2312"/>
                <w:color w:val="000000"/>
                <w:kern w:val="0"/>
                <w:sz w:val="24"/>
                <w:szCs w:val="24"/>
              </w:rPr>
              <w:br w:type="textWrapping"/>
            </w:r>
            <w:r>
              <w:rPr>
                <w:rFonts w:hint="eastAsia" w:ascii="仿宋_GB2312" w:hAnsi="仿宋_GB2312" w:cs="仿宋_GB2312"/>
                <w:color w:val="000000"/>
                <w:kern w:val="0"/>
                <w:sz w:val="24"/>
                <w:szCs w:val="24"/>
              </w:rPr>
              <w:t>督办</w:t>
            </w: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立案</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kern w:val="0"/>
                <w:sz w:val="24"/>
                <w:szCs w:val="24"/>
              </w:rPr>
            </w:pPr>
            <w:r>
              <w:rPr>
                <w:rFonts w:hint="eastAsia" w:ascii="仿宋_GB2312" w:hAnsi="仿宋_GB2312" w:cs="仿宋_GB2312"/>
                <w:color w:val="000000"/>
                <w:kern w:val="0"/>
                <w:sz w:val="24"/>
                <w:szCs w:val="24"/>
              </w:rPr>
              <w:t>暂时停产</w:t>
            </w:r>
          </w:p>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停业</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吊销经营许可证</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罚款金额</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kern w:val="0"/>
                <w:sz w:val="24"/>
                <w:szCs w:val="24"/>
              </w:rPr>
            </w:pPr>
            <w:r>
              <w:rPr>
                <w:rFonts w:hint="eastAsia" w:ascii="仿宋_GB2312" w:hAnsi="仿宋_GB2312" w:cs="仿宋_GB2312"/>
                <w:color w:val="000000"/>
                <w:kern w:val="0"/>
                <w:sz w:val="24"/>
                <w:szCs w:val="24"/>
              </w:rPr>
              <w:t>黑名单</w:t>
            </w:r>
          </w:p>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惩戒</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sz w:val="24"/>
                <w:szCs w:val="24"/>
              </w:rPr>
              <w:t>移交</w:t>
            </w:r>
          </w:p>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sz w:val="24"/>
                <w:szCs w:val="24"/>
              </w:rPr>
              <w:t>案件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kern w:val="0"/>
                <w:sz w:val="24"/>
                <w:szCs w:val="24"/>
              </w:rPr>
            </w:pPr>
            <w:r>
              <w:rPr>
                <w:rFonts w:hint="eastAsia" w:ascii="仿宋_GB2312" w:hAnsi="仿宋_GB2312" w:cs="仿宋_GB2312"/>
                <w:color w:val="000000"/>
                <w:kern w:val="0"/>
                <w:sz w:val="24"/>
                <w:szCs w:val="24"/>
              </w:rPr>
              <w:t>追究</w:t>
            </w:r>
          </w:p>
          <w:p>
            <w:pPr>
              <w:widowControl/>
              <w:spacing w:line="300" w:lineRule="exact"/>
              <w:jc w:val="center"/>
              <w:textAlignment w:val="center"/>
              <w:rPr>
                <w:rFonts w:ascii="仿宋_GB2312" w:cs="仿宋_GB2312"/>
                <w:color w:val="000000"/>
                <w:kern w:val="0"/>
                <w:sz w:val="24"/>
                <w:szCs w:val="24"/>
              </w:rPr>
            </w:pPr>
            <w:r>
              <w:rPr>
                <w:rFonts w:hint="eastAsia" w:ascii="仿宋_GB2312" w:hAnsi="仿宋_GB2312" w:cs="仿宋_GB2312"/>
                <w:color w:val="000000"/>
                <w:kern w:val="0"/>
                <w:sz w:val="24"/>
                <w:szCs w:val="24"/>
              </w:rPr>
              <w:t>刑事</w:t>
            </w:r>
          </w:p>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责任</w:t>
            </w:r>
          </w:p>
        </w:tc>
      </w:tr>
      <w:tr>
        <w:tblPrEx>
          <w:tblCellMar>
            <w:top w:w="0" w:type="dxa"/>
            <w:left w:w="0" w:type="dxa"/>
            <w:bottom w:w="0" w:type="dxa"/>
            <w:right w:w="0" w:type="dxa"/>
          </w:tblCellMar>
        </w:tblPrEx>
        <w:trPr>
          <w:trHeight w:val="53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次</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项</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项</w:t>
            </w:r>
          </w:p>
        </w:tc>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项</w:t>
            </w: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项</w:t>
            </w: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家</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家</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家</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万元</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家</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sz w:val="24"/>
                <w:szCs w:val="24"/>
              </w:rPr>
              <w:t>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人</w:t>
            </w:r>
          </w:p>
        </w:tc>
      </w:tr>
      <w:tr>
        <w:tblPrEx>
          <w:tblCellMar>
            <w:top w:w="0" w:type="dxa"/>
            <w:left w:w="0" w:type="dxa"/>
            <w:bottom w:w="0" w:type="dxa"/>
            <w:right w:w="0"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kern w:val="0"/>
                <w:sz w:val="24"/>
                <w:szCs w:val="24"/>
              </w:rPr>
            </w:pPr>
            <w:r>
              <w:rPr>
                <w:rFonts w:hint="eastAsia" w:ascii="仿宋_GB2312" w:hAnsi="仿宋_GB2312" w:cs="仿宋_GB2312"/>
                <w:color w:val="000000"/>
                <w:kern w:val="0"/>
                <w:sz w:val="24"/>
                <w:szCs w:val="24"/>
              </w:rPr>
              <w:t>之前</w:t>
            </w:r>
          </w:p>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累计</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r>
      <w:tr>
        <w:tblPrEx>
          <w:tblCellMar>
            <w:top w:w="0" w:type="dxa"/>
            <w:left w:w="0" w:type="dxa"/>
            <w:bottom w:w="0" w:type="dxa"/>
            <w:right w:w="0" w:type="dxa"/>
          </w:tblCellMar>
        </w:tblPrEx>
        <w:trPr>
          <w:trHeight w:val="530"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本季</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仿宋_GB2312" w:cs="仿宋_GB2312"/>
                <w:color w:val="000000"/>
                <w:sz w:val="24"/>
                <w:szCs w:val="24"/>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仿宋_GB2312"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仿宋_GB2312" w:cs="仿宋_GB2312"/>
                <w:color w:val="000000"/>
                <w:sz w:val="24"/>
                <w:szCs w:val="24"/>
              </w:rPr>
            </w:pPr>
          </w:p>
        </w:tc>
      </w:tr>
      <w:tr>
        <w:tblPrEx>
          <w:tblCellMar>
            <w:top w:w="0" w:type="dxa"/>
            <w:left w:w="0" w:type="dxa"/>
            <w:bottom w:w="0" w:type="dxa"/>
            <w:right w:w="0"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累计</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_GB2312" w:cs="仿宋_GB2312"/>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cs="仿宋_GB2312"/>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仿宋_GB2312" w:cs="仿宋_GB2312"/>
                <w:color w:val="000000"/>
                <w:sz w:val="24"/>
                <w:szCs w:val="24"/>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仿宋_GB2312" w:cs="仿宋_GB2312"/>
                <w:color w:val="000000"/>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仿宋_GB2312" w:cs="仿宋_GB2312"/>
                <w:color w:val="000000"/>
                <w:sz w:val="24"/>
                <w:szCs w:val="24"/>
              </w:rPr>
            </w:pPr>
          </w:p>
        </w:tc>
      </w:tr>
    </w:tbl>
    <w:p>
      <w:pPr>
        <w:spacing w:line="570" w:lineRule="exact"/>
        <w:rPr>
          <w:sz w:val="28"/>
          <w:szCs w:val="28"/>
        </w:rPr>
      </w:pPr>
      <w:r>
        <w:rPr>
          <w:rFonts w:hint="eastAsia"/>
          <w:sz w:val="28"/>
          <w:szCs w:val="28"/>
        </w:rPr>
        <w:t>填表人：</w:t>
      </w:r>
      <w:r>
        <w:rPr>
          <w:sz w:val="28"/>
          <w:szCs w:val="28"/>
        </w:rPr>
        <w:tab/>
      </w:r>
      <w:r>
        <w:rPr>
          <w:rFonts w:hint="eastAsia"/>
          <w:sz w:val="28"/>
          <w:szCs w:val="28"/>
        </w:rPr>
        <w:t>　　　　　　　　　　　　　联系方式：</w:t>
      </w:r>
    </w:p>
    <w:p>
      <w:pPr>
        <w:spacing w:line="240" w:lineRule="exact"/>
        <w:rPr>
          <w:szCs w:val="32"/>
        </w:rPr>
      </w:pPr>
    </w:p>
    <w:p>
      <w:pPr>
        <w:spacing w:line="360" w:lineRule="exact"/>
        <w:ind w:left="-620" w:right="-484"/>
        <w:rPr>
          <w:sz w:val="24"/>
          <w:szCs w:val="24"/>
        </w:rPr>
        <w:sectPr>
          <w:pgSz w:w="16838" w:h="11906" w:orient="landscape"/>
          <w:pgMar w:top="1587" w:right="2098" w:bottom="1474" w:left="1984" w:header="851" w:footer="992" w:gutter="0"/>
          <w:pgNumType w:fmt="numberInDash"/>
          <w:cols w:space="720" w:num="1"/>
          <w:docGrid w:type="linesAndChars" w:linePitch="579" w:charSpace="-842"/>
        </w:sectPr>
      </w:pPr>
      <w:r>
        <w:rPr>
          <w:rFonts w:hint="eastAsia"/>
          <w:sz w:val="24"/>
          <w:szCs w:val="24"/>
        </w:rPr>
        <w:t>　　填表说明：本统计报表每季度填报一次，请各区（市）高度重视，与当地市场监管部门核实后认真统计填报，对于不按时填报或填报错误的区（市）将根据具体情况进行通报，填报人员有变动的请第一时间通知联络人，确保统计报表的连续性。所有填报请用本表，填报字体统一用仿宋</w:t>
      </w:r>
      <w:r>
        <w:rPr>
          <w:sz w:val="24"/>
          <w:szCs w:val="24"/>
        </w:rPr>
        <w:t>GB2132,14</w:t>
      </w:r>
      <w:r>
        <w:rPr>
          <w:rFonts w:hint="eastAsia"/>
          <w:sz w:val="24"/>
          <w:szCs w:val="24"/>
        </w:rPr>
        <w:t>号字。本表分季统计和累计统计，累计数为从开展集中整治工作情况的累加数，同时确保数据准确。填表人及联系方式请认真填写。</w:t>
      </w:r>
    </w:p>
    <w:p>
      <w:pPr>
        <w:spacing w:line="570" w:lineRule="exac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3</w:t>
      </w:r>
    </w:p>
    <w:p>
      <w:pPr>
        <w:spacing w:before="240" w:after="240"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台儿庄区学校（幼儿园）食堂清洁厨房和智慧食堂进展情况统计表</w:t>
      </w:r>
    </w:p>
    <w:p>
      <w:pPr>
        <w:spacing w:line="570" w:lineRule="exact"/>
        <w:rPr>
          <w:sz w:val="28"/>
          <w:szCs w:val="28"/>
        </w:rPr>
      </w:pPr>
      <w:r>
        <w:rPr>
          <w:rFonts w:hint="eastAsia"/>
          <w:sz w:val="28"/>
          <w:szCs w:val="28"/>
        </w:rPr>
        <w:t>填报单位：（加盖公章）</w:t>
      </w:r>
      <w:r>
        <w:rPr>
          <w:sz w:val="28"/>
          <w:szCs w:val="28"/>
        </w:rPr>
        <w:t xml:space="preserve">                                </w:t>
      </w:r>
      <w:r>
        <w:rPr>
          <w:sz w:val="28"/>
          <w:szCs w:val="28"/>
        </w:rPr>
        <w:tab/>
      </w:r>
      <w:r>
        <w:rPr>
          <w:sz w:val="28"/>
          <w:szCs w:val="28"/>
        </w:rPr>
        <w:tab/>
      </w:r>
      <w:r>
        <w:rPr>
          <w:sz w:val="28"/>
          <w:szCs w:val="28"/>
        </w:rPr>
        <w:tab/>
      </w:r>
      <w:r>
        <w:rPr>
          <w:rFonts w:hint="eastAsia"/>
          <w:sz w:val="28"/>
          <w:szCs w:val="28"/>
        </w:rPr>
        <w:t>填报时间：</w:t>
      </w:r>
    </w:p>
    <w:tbl>
      <w:tblPr>
        <w:tblStyle w:val="4"/>
        <w:tblW w:w="14336" w:type="dxa"/>
        <w:jc w:val="center"/>
        <w:tblLayout w:type="fixed"/>
        <w:tblCellMar>
          <w:top w:w="0" w:type="dxa"/>
          <w:left w:w="0" w:type="dxa"/>
          <w:bottom w:w="0" w:type="dxa"/>
          <w:right w:w="0" w:type="dxa"/>
        </w:tblCellMar>
      </w:tblPr>
      <w:tblGrid>
        <w:gridCol w:w="463"/>
        <w:gridCol w:w="1092"/>
        <w:gridCol w:w="1350"/>
        <w:gridCol w:w="1365"/>
        <w:gridCol w:w="974"/>
        <w:gridCol w:w="1050"/>
        <w:gridCol w:w="1350"/>
        <w:gridCol w:w="667"/>
        <w:gridCol w:w="895"/>
        <w:gridCol w:w="780"/>
        <w:gridCol w:w="900"/>
        <w:gridCol w:w="870"/>
        <w:gridCol w:w="735"/>
        <w:gridCol w:w="870"/>
        <w:gridCol w:w="975"/>
      </w:tblGrid>
      <w:tr>
        <w:tblPrEx>
          <w:tblCellMar>
            <w:top w:w="0" w:type="dxa"/>
            <w:left w:w="0" w:type="dxa"/>
            <w:bottom w:w="0" w:type="dxa"/>
            <w:right w:w="0" w:type="dxa"/>
          </w:tblCellMar>
        </w:tblPrEx>
        <w:trPr>
          <w:trHeight w:val="1715" w:hRule="atLeast"/>
          <w:jc w:val="center"/>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序</w:t>
            </w:r>
            <w:r>
              <w:rPr>
                <w:rFonts w:ascii="仿宋_GB2312" w:cs="仿宋_GB2312"/>
                <w:color w:val="000000"/>
                <w:kern w:val="0"/>
                <w:sz w:val="24"/>
                <w:szCs w:val="24"/>
              </w:rPr>
              <w:br w:type="textWrapping"/>
            </w:r>
            <w:r>
              <w:rPr>
                <w:rFonts w:hint="eastAsia" w:ascii="仿宋_GB2312" w:hAnsi="仿宋_GB2312" w:cs="仿宋_GB2312"/>
                <w:color w:val="000000"/>
                <w:kern w:val="0"/>
                <w:sz w:val="24"/>
                <w:szCs w:val="24"/>
              </w:rPr>
              <w:t>号</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sz w:val="24"/>
                <w:szCs w:val="24"/>
              </w:rPr>
              <w:t>镇（街）</w:t>
            </w:r>
          </w:p>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sz w:val="24"/>
                <w:szCs w:val="24"/>
              </w:rPr>
              <w:t>（学区）</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学校名称</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学校地址</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法人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联系人</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联系方式</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是否实施明厨亮灶</w:t>
            </w: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是否实施大宗物品集中定点采购</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是否实施家委会参与机制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是否实行集中用餐信息公开制度</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是否建立学校食品安全相关制度</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是否达到清洁厨房标准</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是否参与智慧食堂试点工作</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r>
              <w:rPr>
                <w:rFonts w:hint="eastAsia" w:ascii="仿宋_GB2312" w:hAnsi="仿宋_GB2312" w:cs="仿宋_GB2312"/>
                <w:color w:val="000000"/>
                <w:kern w:val="0"/>
                <w:sz w:val="24"/>
                <w:szCs w:val="24"/>
              </w:rPr>
              <w:t>学校食堂食品安全量化等级</w:t>
            </w:r>
          </w:p>
        </w:tc>
      </w:tr>
      <w:tr>
        <w:tblPrEx>
          <w:tblCellMar>
            <w:top w:w="0" w:type="dxa"/>
            <w:left w:w="0" w:type="dxa"/>
            <w:bottom w:w="0" w:type="dxa"/>
            <w:right w:w="0" w:type="dxa"/>
          </w:tblCellMar>
        </w:tblPrEx>
        <w:trPr>
          <w:trHeight w:val="790" w:hRule="atLeast"/>
          <w:jc w:val="center"/>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仿宋_GB2312" w:cs="仿宋_GB2312"/>
                <w:color w:val="000000"/>
                <w:sz w:val="24"/>
                <w:szCs w:val="24"/>
              </w:rPr>
            </w:pPr>
          </w:p>
        </w:tc>
      </w:tr>
      <w:tr>
        <w:tblPrEx>
          <w:tblCellMar>
            <w:top w:w="0" w:type="dxa"/>
            <w:left w:w="0" w:type="dxa"/>
            <w:bottom w:w="0" w:type="dxa"/>
            <w:right w:w="0" w:type="dxa"/>
          </w:tblCellMar>
        </w:tblPrEx>
        <w:trPr>
          <w:trHeight w:val="550" w:hRule="atLeast"/>
          <w:jc w:val="center"/>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r>
      <w:tr>
        <w:tblPrEx>
          <w:tblCellMar>
            <w:top w:w="0" w:type="dxa"/>
            <w:left w:w="0" w:type="dxa"/>
            <w:bottom w:w="0" w:type="dxa"/>
            <w:right w:w="0" w:type="dxa"/>
          </w:tblCellMar>
        </w:tblPrEx>
        <w:trPr>
          <w:trHeight w:val="540" w:hRule="atLeast"/>
          <w:jc w:val="center"/>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r>
      <w:tr>
        <w:tblPrEx>
          <w:tblCellMar>
            <w:top w:w="0" w:type="dxa"/>
            <w:left w:w="0" w:type="dxa"/>
            <w:bottom w:w="0" w:type="dxa"/>
            <w:right w:w="0" w:type="dxa"/>
          </w:tblCellMar>
        </w:tblPrEx>
        <w:trPr>
          <w:trHeight w:val="540" w:hRule="atLeast"/>
          <w:jc w:val="center"/>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cs="仿宋_GB2312"/>
                <w:color w:val="000000"/>
                <w:sz w:val="24"/>
                <w:szCs w:val="24"/>
              </w:rPr>
            </w:pPr>
          </w:p>
        </w:tc>
      </w:tr>
    </w:tbl>
    <w:p>
      <w:pPr>
        <w:spacing w:line="570" w:lineRule="exact"/>
        <w:ind w:left="-300" w:right="-164"/>
        <w:rPr>
          <w:rFonts w:ascii="仿宋_GB2312" w:cs="仿宋_GB2312"/>
          <w:sz w:val="24"/>
          <w:szCs w:val="24"/>
        </w:rPr>
      </w:pPr>
      <w:r>
        <w:rPr>
          <w:rFonts w:hint="eastAsia" w:ascii="仿宋_GB2312" w:hAnsi="仿宋_GB2312" w:cs="仿宋_GB2312"/>
          <w:sz w:val="24"/>
          <w:szCs w:val="24"/>
        </w:rPr>
        <w:t>填报人：</w:t>
      </w:r>
      <w:r>
        <w:rPr>
          <w:rFonts w:ascii="仿宋_GB2312" w:hAnsi="仿宋_GB2312" w:cs="仿宋_GB2312"/>
          <w:sz w:val="24"/>
          <w:szCs w:val="24"/>
        </w:rPr>
        <w:t xml:space="preserve">                </w:t>
      </w:r>
      <w:r>
        <w:rPr>
          <w:rFonts w:hint="eastAsia" w:ascii="仿宋_GB2312" w:hAnsi="仿宋_GB2312" w:cs="仿宋_GB2312"/>
          <w:sz w:val="24"/>
          <w:szCs w:val="24"/>
        </w:rPr>
        <w:t>联系方式：</w:t>
      </w:r>
    </w:p>
    <w:p>
      <w:pPr>
        <w:spacing w:line="340" w:lineRule="exact"/>
        <w:ind w:left="-300" w:right="-164"/>
        <w:rPr>
          <w:rFonts w:ascii="仿宋_GB2312" w:cs="仿宋_GB2312"/>
          <w:sz w:val="24"/>
          <w:szCs w:val="24"/>
        </w:rPr>
        <w:sectPr>
          <w:pgSz w:w="16838" w:h="11906" w:orient="landscape"/>
          <w:pgMar w:top="1587" w:right="2098" w:bottom="1474" w:left="1984" w:header="851" w:footer="992" w:gutter="0"/>
          <w:pgNumType w:fmt="numberInDash"/>
          <w:cols w:space="720" w:num="1"/>
          <w:docGrid w:type="linesAndChars" w:linePitch="579" w:charSpace="-842"/>
        </w:sectPr>
      </w:pPr>
      <w:r>
        <w:rPr>
          <w:rFonts w:hint="eastAsia" w:ascii="仿宋_GB2312" w:hAnsi="仿宋_GB2312" w:cs="仿宋_GB2312"/>
          <w:sz w:val="24"/>
          <w:szCs w:val="24"/>
        </w:rPr>
        <w:t>填表说明：本统计报表每季度填报一次，请各区（市）高度重视，与当地市场监管部门核实后认真统计填报，对于不按时填报或填报错误的区（市）将根据具体情况进行通报，填报人员有变动的请第一时间通知联络人，确保统计报表的连续性。所有填报请用本表，填报字体统一用仿宋</w:t>
      </w:r>
      <w:r>
        <w:rPr>
          <w:rFonts w:ascii="仿宋_GB2312" w:hAnsi="仿宋_GB2312" w:cs="仿宋_GB2312"/>
          <w:sz w:val="24"/>
          <w:szCs w:val="24"/>
        </w:rPr>
        <w:t>GB2132,14</w:t>
      </w:r>
      <w:r>
        <w:rPr>
          <w:rFonts w:hint="eastAsia" w:ascii="仿宋_GB2312" w:hAnsi="仿宋_GB2312" w:cs="仿宋_GB2312"/>
          <w:sz w:val="24"/>
          <w:szCs w:val="24"/>
        </w:rPr>
        <w:t>号字。本表分季统计和累计统计，累计数为从开展集中整治工作情况的累加数，同时确保数据准确。认真填报填表人及联系方式。</w:t>
      </w:r>
    </w:p>
    <w:p>
      <w:pPr>
        <w:rPr>
          <w:rFonts w:eastAsia="宋体"/>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13.9pt;height:20pt;width:72.05pt;mso-position-horizontal:center;mso-position-horizontal-relative:margin;z-index:251658240;mso-width-relative:page;mso-height-relative:page;" filled="f" stroked="f" coordsize="21600,21600" o:gfxdata="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IAt81gAAAAcBAAAPAAAAAAAAAAEA&#10;IAAAACIAAABkcnMvZG93bnJldi54bWxQSwECFAAUAAAACACHTuJAt1Bwv58BAAAjAwAADgAAAAAA&#10;AAABACAAAAAlAQAAZHJzL2Uyb0RvYy54bWxQSwUGAAAAAAYABgBZAQAANgUAAAAA&#10;">
          <v:path/>
          <v:fill on="f" focussize="0,0"/>
          <v:stroke on="f" joinstyle="miter"/>
          <v:imagedata o:title=""/>
          <o:lock v:ext="edit"/>
          <v:textbox inset="0mm,0mm,0mm,0mm">
            <w:txbxContent>
              <w:p>
                <w:pPr>
                  <w:snapToGrid w:val="0"/>
                  <w:jc w:val="center"/>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t>- 3 -</w:t>
                </w:r>
                <w:r>
                  <w:rPr>
                    <w:rFonts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2B80059"/>
    <w:rsid w:val="001546F8"/>
    <w:rsid w:val="00634070"/>
    <w:rsid w:val="0089632D"/>
    <w:rsid w:val="00E06444"/>
    <w:rsid w:val="00E84C8E"/>
    <w:rsid w:val="00EA0BF1"/>
    <w:rsid w:val="025025E0"/>
    <w:rsid w:val="02510DC2"/>
    <w:rsid w:val="02B80059"/>
    <w:rsid w:val="03380A75"/>
    <w:rsid w:val="072C36D4"/>
    <w:rsid w:val="092E60DF"/>
    <w:rsid w:val="0F0C5944"/>
    <w:rsid w:val="0FB7136A"/>
    <w:rsid w:val="0FD8078B"/>
    <w:rsid w:val="11691D8B"/>
    <w:rsid w:val="11EF55EE"/>
    <w:rsid w:val="12FB0A1E"/>
    <w:rsid w:val="13C96B43"/>
    <w:rsid w:val="15025629"/>
    <w:rsid w:val="1EEF047E"/>
    <w:rsid w:val="22E57899"/>
    <w:rsid w:val="25A6104F"/>
    <w:rsid w:val="262E69DD"/>
    <w:rsid w:val="276A7E64"/>
    <w:rsid w:val="27802B3D"/>
    <w:rsid w:val="2AF87727"/>
    <w:rsid w:val="2F0D3A34"/>
    <w:rsid w:val="2F2C519F"/>
    <w:rsid w:val="30D859DE"/>
    <w:rsid w:val="3A5A6E19"/>
    <w:rsid w:val="3AC23B8B"/>
    <w:rsid w:val="43755845"/>
    <w:rsid w:val="46A012F1"/>
    <w:rsid w:val="4CC94FC3"/>
    <w:rsid w:val="51537251"/>
    <w:rsid w:val="515B7731"/>
    <w:rsid w:val="539146DC"/>
    <w:rsid w:val="5A0E4CEF"/>
    <w:rsid w:val="5B2455C3"/>
    <w:rsid w:val="5C6570EC"/>
    <w:rsid w:val="608471B4"/>
    <w:rsid w:val="64CD101F"/>
    <w:rsid w:val="650A1A52"/>
    <w:rsid w:val="6BE1554E"/>
    <w:rsid w:val="6CCB1AFC"/>
    <w:rsid w:val="752679DB"/>
    <w:rsid w:val="75C36B41"/>
    <w:rsid w:val="76BD5B3E"/>
    <w:rsid w:val="7AE67155"/>
    <w:rsid w:val="7CA21E3B"/>
    <w:rsid w:val="7FA922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uiPriority w:val="99"/>
    <w:rPr>
      <w:rFonts w:eastAsia="仿宋_GB2312"/>
      <w:sz w:val="18"/>
      <w:szCs w:val="18"/>
    </w:rPr>
  </w:style>
  <w:style w:type="character" w:customStyle="1" w:styleId="7">
    <w:name w:val="Header Char"/>
    <w:basedOn w:val="5"/>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862</Words>
  <Characters>4916</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2020-05-09T02:08:00Z</dcterms:created>
  <dc:creator>曙光51L</dc:creator>
  <cp:lastModifiedBy>Administrator</cp:lastModifiedBy>
  <cp:lastPrinted>2020-05-12T08:04:00Z</cp:lastPrinted>
  <dcterms:modified xsi:type="dcterms:W3CDTF">2020-08-02T03:54:58Z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